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B935">
      <w:pPr>
        <w:keepNext w:val="0"/>
        <w:keepLines w:val="0"/>
        <w:pageBreakBefore w:val="0"/>
        <w:widowControl w:val="0"/>
        <w:kinsoku/>
        <w:wordWrap/>
        <w:overflowPunct w:val="0"/>
        <w:topLinePunct w:val="0"/>
        <w:autoSpaceDE/>
        <w:autoSpaceDN/>
        <w:bidi w:val="0"/>
        <w:adjustRightInd/>
        <w:snapToGrid/>
        <w:spacing w:line="560" w:lineRule="exact"/>
        <w:ind w:left="0" w:leftChars="0"/>
        <w:jc w:val="both"/>
        <w:textAlignment w:val="auto"/>
        <w:rPr>
          <w:rFonts w:hint="default"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附件8</w:t>
      </w:r>
    </w:p>
    <w:p w14:paraId="33636C37">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民乐县</w:t>
      </w:r>
      <w:r>
        <w:rPr>
          <w:rFonts w:hint="default" w:ascii="Times New Roman" w:hAnsi="Times New Roman" w:eastAsia="方正小标宋简体" w:cs="Times New Roman"/>
          <w:sz w:val="44"/>
          <w:szCs w:val="44"/>
        </w:rPr>
        <w:t>卫</w:t>
      </w:r>
      <w:r>
        <w:rPr>
          <w:rFonts w:hint="default" w:ascii="Times New Roman" w:hAnsi="Times New Roman" w:eastAsia="方正小标宋简体" w:cs="Times New Roman"/>
          <w:sz w:val="44"/>
          <w:szCs w:val="44"/>
          <w:lang w:val="en-US" w:eastAsia="zh-CN"/>
        </w:rPr>
        <w:t>健</w:t>
      </w:r>
      <w:r>
        <w:rPr>
          <w:rFonts w:hint="default" w:ascii="Times New Roman" w:hAnsi="Times New Roman" w:eastAsia="方正小标宋简体" w:cs="Times New Roman"/>
          <w:sz w:val="44"/>
          <w:szCs w:val="44"/>
        </w:rPr>
        <w:t>系统医疗事故责任追究</w:t>
      </w:r>
      <w:r>
        <w:rPr>
          <w:rFonts w:hint="default" w:ascii="Times New Roman" w:hAnsi="Times New Roman" w:eastAsia="方正小标宋简体" w:cs="Times New Roman"/>
          <w:sz w:val="44"/>
          <w:szCs w:val="44"/>
          <w:lang w:eastAsia="zh-CN"/>
        </w:rPr>
        <w:t>制度</w:t>
      </w:r>
      <w:bookmarkEnd w:id="0"/>
    </w:p>
    <w:p w14:paraId="17580063">
      <w:pPr>
        <w:keepNext w:val="0"/>
        <w:keepLines w:val="0"/>
        <w:pageBreakBefore w:val="0"/>
        <w:widowControl w:val="0"/>
        <w:kinsoku/>
        <w:wordWrap/>
        <w:overflowPunct w:val="0"/>
        <w:topLinePunct w:val="0"/>
        <w:autoSpaceDE/>
        <w:autoSpaceDN/>
        <w:bidi w:val="0"/>
        <w:adjustRightInd/>
        <w:snapToGrid/>
        <w:spacing w:line="560" w:lineRule="exact"/>
        <w:ind w:left="0" w:leftChars="0"/>
        <w:jc w:val="both"/>
        <w:textAlignment w:val="auto"/>
        <w:rPr>
          <w:rFonts w:hint="default" w:ascii="Times New Roman" w:hAnsi="Times New Roman" w:eastAsia="方正小标宋简体" w:cs="Times New Roman"/>
          <w:sz w:val="44"/>
          <w:szCs w:val="44"/>
        </w:rPr>
      </w:pPr>
    </w:p>
    <w:p w14:paraId="53B4CA1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rPr>
        <w:t>总则</w:t>
      </w:r>
    </w:p>
    <w:p w14:paraId="537AEDC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w:t>
      </w:r>
      <w:r>
        <w:rPr>
          <w:rFonts w:hint="default" w:ascii="Times New Roman" w:hAnsi="Times New Roman" w:eastAsia="仿宋_GB2312" w:cs="Times New Roman"/>
          <w:sz w:val="32"/>
          <w:szCs w:val="32"/>
          <w:lang w:eastAsia="zh-CN"/>
        </w:rPr>
        <w:t>民乐县</w:t>
      </w:r>
      <w:r>
        <w:rPr>
          <w:rFonts w:hint="default" w:ascii="Times New Roman" w:hAnsi="Times New Roman" w:eastAsia="仿宋_GB2312" w:cs="Times New Roman"/>
          <w:sz w:val="32"/>
          <w:szCs w:val="32"/>
          <w:lang w:val="en-US" w:eastAsia="zh-CN"/>
        </w:rPr>
        <w:t>卫健系统</w:t>
      </w:r>
      <w:r>
        <w:rPr>
          <w:rFonts w:hint="default" w:ascii="Times New Roman" w:hAnsi="Times New Roman" w:eastAsia="仿宋_GB2312" w:cs="Times New Roman"/>
          <w:sz w:val="32"/>
          <w:szCs w:val="32"/>
        </w:rPr>
        <w:t>医疗质量与安全管理，明确医疗事故责任，预防和减少医疗事故发生，保障群众健康和生命安全，依据《中华人民共和国执业医师法》《医疗</w:t>
      </w:r>
      <w:r>
        <w:rPr>
          <w:rFonts w:hint="default" w:ascii="Times New Roman" w:hAnsi="Times New Roman" w:eastAsia="仿宋_GB2312" w:cs="Times New Roman"/>
          <w:sz w:val="32"/>
          <w:szCs w:val="32"/>
          <w:lang w:val="en-US" w:eastAsia="zh-CN"/>
        </w:rPr>
        <w:t>纠纷预防和处理条例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甘肃省医疗机构医疗纠纷和</w:t>
      </w:r>
      <w:r>
        <w:rPr>
          <w:rFonts w:hint="default" w:ascii="Times New Roman" w:hAnsi="Times New Roman" w:eastAsia="仿宋_GB2312" w:cs="Times New Roman"/>
          <w:sz w:val="32"/>
          <w:szCs w:val="32"/>
        </w:rPr>
        <w:t>医疗事故预防处置办法（试行）》等相关法律法规，结合本</w:t>
      </w:r>
      <w:r>
        <w:rPr>
          <w:rFonts w:hint="default" w:ascii="Times New Roman" w:hAnsi="Times New Roman" w:eastAsia="仿宋_GB2312" w:cs="Times New Roman"/>
          <w:sz w:val="32"/>
          <w:szCs w:val="32"/>
          <w:lang w:val="en-US" w:eastAsia="zh-CN"/>
        </w:rPr>
        <w:t>系统</w:t>
      </w:r>
      <w:r>
        <w:rPr>
          <w:rFonts w:hint="default" w:ascii="Times New Roman" w:hAnsi="Times New Roman" w:eastAsia="仿宋_GB2312" w:cs="Times New Roman"/>
          <w:sz w:val="32"/>
          <w:szCs w:val="32"/>
        </w:rPr>
        <w:t>实际，制定本</w:t>
      </w:r>
      <w:r>
        <w:rPr>
          <w:rFonts w:hint="default"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w:t>
      </w:r>
    </w:p>
    <w:p w14:paraId="2E599B05">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相关定义</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所称医疗事故，指医疗机构及其医务人员在医疗活动中，违反医疗卫生管理法律、行政法规、部门规章和诊疗护理规范、常规，过失造成患者人身损害的事故。</w:t>
      </w:r>
    </w:p>
    <w:p w14:paraId="7820BDCA">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SA"/>
        </w:rPr>
        <w:t>2.适用范围：</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适用于本县各级各类医疗机构及其医务人员医疗事故的责任追究。</w:t>
      </w:r>
    </w:p>
    <w:p w14:paraId="7630EA0D">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kern w:val="2"/>
          <w:sz w:val="32"/>
          <w:szCs w:val="32"/>
          <w:lang w:val="en-US" w:eastAsia="zh-CN" w:bidi="ar-SA"/>
        </w:rPr>
        <w:t>3.管理职责：</w:t>
      </w:r>
      <w:r>
        <w:rPr>
          <w:rFonts w:hint="default" w:ascii="Times New Roman" w:hAnsi="Times New Roman" w:eastAsia="仿宋_GB2312" w:cs="Times New Roman"/>
          <w:sz w:val="32"/>
          <w:szCs w:val="32"/>
          <w:lang w:val="en-US" w:eastAsia="zh-CN"/>
        </w:rPr>
        <w:t>民乐</w:t>
      </w:r>
      <w:r>
        <w:rPr>
          <w:rFonts w:hint="default" w:ascii="Times New Roman" w:hAnsi="Times New Roman" w:eastAsia="仿宋_GB2312" w:cs="Times New Roman"/>
          <w:sz w:val="32"/>
          <w:szCs w:val="32"/>
        </w:rPr>
        <w:t>县卫生健康局负责全县医疗事故责任追究的监督管理；</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医疗机构负责本机构内医疗事故责任的初步调查和内部处理，并配合县卫生健康局开展相关工作</w:t>
      </w:r>
      <w:r>
        <w:rPr>
          <w:rFonts w:hint="default" w:ascii="Times New Roman" w:hAnsi="Times New Roman" w:eastAsia="仿宋_GB2312" w:cs="Times New Roman"/>
          <w:sz w:val="32"/>
          <w:szCs w:val="32"/>
          <w:lang w:eastAsia="zh-CN"/>
        </w:rPr>
        <w:t>。</w:t>
      </w:r>
    </w:p>
    <w:p w14:paraId="1CCEB056">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SA"/>
        </w:rPr>
        <w:t>4.追究原则：</w:t>
      </w:r>
      <w:r>
        <w:rPr>
          <w:rFonts w:hint="default" w:ascii="Times New Roman" w:hAnsi="Times New Roman" w:eastAsia="仿宋_GB2312" w:cs="Times New Roman"/>
          <w:sz w:val="32"/>
          <w:szCs w:val="32"/>
        </w:rPr>
        <w:t>医疗事故责任追究遵循公开、公平、公正，实事求是，责罚相当，有错必纠，惩教结合原则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做到违规必罚。</w:t>
      </w:r>
    </w:p>
    <w:p w14:paraId="37DE4C0E">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责任追究范围</w:t>
      </w:r>
    </w:p>
    <w:p w14:paraId="283C17CC">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（一）具体情形</w:t>
      </w:r>
    </w:p>
    <w:p w14:paraId="14EE32A4">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1.经医疗事故技术鉴定部门鉴定为医疗事故的；</w:t>
      </w:r>
    </w:p>
    <w:p w14:paraId="0C0E0FAD">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2.经司法部门判决或调解，确定医疗机构承担医疗损害责任和赔偿责任的；</w:t>
      </w:r>
    </w:p>
    <w:p w14:paraId="057E0C0E">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3.虽未经医疗事故技术鉴定，但县卫生健康局依据相关法律法规，认定医疗机构存在明显过错，或医患双方共同认定为医疗事故并作为赔偿依据的；</w:t>
      </w:r>
    </w:p>
    <w:p w14:paraId="28D88587">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572" w:firstLineChars="200"/>
        <w:jc w:val="both"/>
        <w:textAlignment w:val="auto"/>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pacing w:val="-17"/>
          <w:sz w:val="32"/>
          <w:szCs w:val="32"/>
        </w:rPr>
        <w:t>4</w:t>
      </w:r>
      <w:r>
        <w:rPr>
          <w:rFonts w:hint="eastAsia" w:eastAsia="仿宋_GB2312" w:cs="Times New Roman"/>
          <w:spacing w:val="-17"/>
          <w:sz w:val="32"/>
          <w:szCs w:val="32"/>
          <w:lang w:eastAsia="zh-CN"/>
        </w:rPr>
        <w:t>.</w:t>
      </w:r>
      <w:r>
        <w:rPr>
          <w:rFonts w:hint="default" w:ascii="Times New Roman" w:hAnsi="Times New Roman" w:eastAsia="仿宋_GB2312" w:cs="Times New Roman"/>
          <w:spacing w:val="-17"/>
          <w:sz w:val="32"/>
          <w:szCs w:val="32"/>
        </w:rPr>
        <w:t>存在以下严重违反诊疗规范行为，造成患者死亡或人身损害的：</w:t>
      </w:r>
    </w:p>
    <w:p w14:paraId="4A75873A">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对危急重症患者不及时抢救、不当转院、无故推诿拒治，或擅离职守、不密切观察病情变化，贻误抢救时机；</w:t>
      </w:r>
    </w:p>
    <w:p w14:paraId="4FBFB1CC">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诊疗中对疑难危重患者病情不及时汇报、不执行上级指示，上级接到报告不及时处理；病情变化未及时抢救、不及时会</w:t>
      </w:r>
      <w:r>
        <w:rPr>
          <w:rFonts w:hint="default" w:ascii="Times New Roman" w:hAnsi="Times New Roman" w:eastAsia="仿宋_GB2312" w:cs="Times New Roman"/>
          <w:spacing w:val="-6"/>
          <w:sz w:val="32"/>
          <w:szCs w:val="32"/>
        </w:rPr>
        <w:t>诊；被请急诊会诊科室和医师无正当理由不及时会诊或推诿失职；</w:t>
      </w:r>
    </w:p>
    <w:p w14:paraId="0DD6CA1B">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违反药物使用规定，不执行消毒隔离和无菌操作常规，造成严重过敏、感染或交叉感染；</w:t>
      </w:r>
    </w:p>
    <w:p w14:paraId="1ED0E053">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手术前准备不充分、违反审批制度，术中违反操作规程错</w:t>
      </w:r>
      <w:r>
        <w:rPr>
          <w:rFonts w:hint="default" w:ascii="Times New Roman" w:hAnsi="Times New Roman" w:eastAsia="仿宋_GB2312" w:cs="Times New Roman"/>
          <w:spacing w:val="-6"/>
          <w:sz w:val="32"/>
          <w:szCs w:val="32"/>
        </w:rPr>
        <w:t>伤脏器、开错部位、摘错器官、遗留异物，术后医护处理严重不当；</w:t>
      </w:r>
    </w:p>
    <w:p w14:paraId="0F0A8BB7">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护理工作中不认真查对，未按护理级别执行，发错药、打错针、输错液、输错血，擅自施行错误处理，不按时交接班、擅自脱岗；</w:t>
      </w:r>
    </w:p>
    <w:p w14:paraId="368BFA1A">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药剂调剂不负责，违反规定配错方、发错药、搞错剂量等，</w:t>
      </w:r>
      <w:r>
        <w:rPr>
          <w:rFonts w:hint="default" w:ascii="Times New Roman" w:hAnsi="Times New Roman" w:eastAsia="仿宋_GB2312" w:cs="Times New Roman"/>
          <w:spacing w:val="-6"/>
          <w:sz w:val="32"/>
          <w:szCs w:val="32"/>
        </w:rPr>
        <w:t>毒限剧药品管理不善，滥用抗生素，擅自制剂自用且违反操作规程；</w:t>
      </w:r>
    </w:p>
    <w:p w14:paraId="24A5717B">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医技科室假报、漏报、错报、迟报检查结果，丢失标本、验错血型、发错血、拍错片，直接影响诊断治疗；</w:t>
      </w:r>
    </w:p>
    <w:p w14:paraId="3BAE5B88">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医疗机构领导对涉及患者安危的紧急问题不及时解决、明知故拖；行政、后勤、供应等部门工作人员不履行职责，影响临床工作致患者损害；</w:t>
      </w:r>
    </w:p>
    <w:p w14:paraId="6CF50E06">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麻醉中选错方式、部位，错用药物或过量，违反规程不观察病情、擅离职守；</w:t>
      </w:r>
    </w:p>
    <w:p w14:paraId="0E56B80D">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“120”未按规定出诊；</w:t>
      </w:r>
    </w:p>
    <w:p w14:paraId="5FCD07D0">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未及时完成医疗文书记录，隐匿、拒绝提供或伪造、篡改、销毁医疗文书；</w:t>
      </w:r>
    </w:p>
    <w:p w14:paraId="5B6E02FB">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卫生技术人员私自开展诊疗科目、售药、收费；</w:t>
      </w:r>
    </w:p>
    <w:p w14:paraId="0C0D07E4">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医务人员或其他工作人员擅自脱岗、串岗，疏于职守、责任心不强；</w:t>
      </w:r>
    </w:p>
    <w:p w14:paraId="1E8779F9">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聘用非卫生技术人员在卫生技术岗位，或聘用人员执业岗位与资格、注册地点不符；</w:t>
      </w:r>
    </w:p>
    <w:p w14:paraId="4216B586">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医务人员诊疗中未尽到与当时医疗水平相应的诊疗义务。</w:t>
      </w:r>
    </w:p>
    <w:p w14:paraId="5BEF20EF">
      <w:pPr>
        <w:pStyle w:val="4"/>
        <w:keepNext w:val="0"/>
        <w:keepLines w:val="0"/>
        <w:pageBreakBefore w:val="0"/>
        <w:widowControl w:val="0"/>
        <w:numPr>
          <w:ilvl w:val="0"/>
          <w:numId w:val="1"/>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其他情形</w:t>
      </w:r>
    </w:p>
    <w:p w14:paraId="5F1FB8A5">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sz w:val="32"/>
          <w:szCs w:val="32"/>
        </w:rPr>
        <w:t>对社会造成重大影响的医疗事件；</w:t>
      </w:r>
    </w:p>
    <w:p w14:paraId="2D2E4095">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2.医疗机构未设医疗服务质量监控处理部门，未制定医疗纠纷（事故）预案及重大医疗纠纷应急预案；</w:t>
      </w:r>
    </w:p>
    <w:p w14:paraId="1C90191A">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3.不按规定受理患方投诉、调查处理医疗事故争议；</w:t>
      </w:r>
    </w:p>
    <w:p w14:paraId="00E11419">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4.不按规定程序和时间向县卫生健康局报告医疗事故，导致责任对象未受追究；</w:t>
      </w:r>
    </w:p>
    <w:p w14:paraId="61BE8939">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5.不积极处理医患纠纷，导致矛盾激化，造成集体上访、扰乱行政机关正常工作秩序；</w:t>
      </w:r>
    </w:p>
    <w:p w14:paraId="6FB66021">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6.未在规定时间内通过医疗事故和重大医疗过失行为报告系统向县卫生健康局报告。</w:t>
      </w:r>
    </w:p>
    <w:p w14:paraId="39FA5A86">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责任划分</w:t>
      </w:r>
    </w:p>
    <w:p w14:paraId="629E7792">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直接责任</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对医疗事故的发生起直接作用的人员承担直接责任。如违规操作的医护人员、未履行职责的药剂人员等 。</w:t>
      </w:r>
    </w:p>
    <w:p w14:paraId="305DC5CB">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2.间接责任：</w:t>
      </w:r>
      <w:r>
        <w:rPr>
          <w:rFonts w:hint="default" w:ascii="Times New Roman" w:hAnsi="Times New Roman" w:eastAsia="仿宋_GB2312" w:cs="Times New Roman"/>
          <w:sz w:val="32"/>
          <w:szCs w:val="32"/>
        </w:rPr>
        <w:t>对医疗事故发生负有间接关联的人员承担间接责任。如未及时发现问题的上级医师、管理不善的科室负责人等。</w:t>
      </w:r>
    </w:p>
    <w:p w14:paraId="53DE8985">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3.领导责任：</w:t>
      </w:r>
      <w:r>
        <w:rPr>
          <w:rFonts w:hint="default" w:ascii="Times New Roman" w:hAnsi="Times New Roman" w:eastAsia="仿宋_GB2312" w:cs="Times New Roman"/>
          <w:sz w:val="32"/>
          <w:szCs w:val="32"/>
        </w:rPr>
        <w:t>医疗机构主要负责人、分管领导对本机构医疗质量安全管理负有领导责任，若因管理不力导致医疗事故发生，承担相应领导责任。</w:t>
      </w:r>
    </w:p>
    <w:p w14:paraId="3B69C7D5">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责任追究内容</w:t>
      </w:r>
    </w:p>
    <w:p w14:paraId="447A2E40">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行政责任追究</w:t>
      </w:r>
    </w:p>
    <w:p w14:paraId="43F3A7BD">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生一、二级医疗事故负完全或主要责任的医疗机构：取消当年年度考核评先评优资格；主要负责人、分管领导取消当年评先评优资格；科室负责人（护士长）当年年度考核为基本合格，直接责任人当年年度考核为不合格；</w:t>
      </w:r>
    </w:p>
    <w:p w14:paraId="7768FDFD">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2.一年度内，同一医疗机构分管领导负责范围内科室发生两起及以上一、二级医疗事故负完全或主要责任的，分管领导当年年度考核为基本合格或不合格，根据相关规定实行问责，视情节给予警告以上处分；</w:t>
      </w:r>
    </w:p>
    <w:p w14:paraId="3911639E">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3.一年度内，同一科室发生两起及以上一、二级医疗事故负完全或主要责任的，给予科室负责人（护士长）警告以上处分，撤销其职务；</w:t>
      </w:r>
    </w:p>
    <w:p w14:paraId="78C6121F">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4.一年度内，同一医疗机构发生两起及以上一、二级医疗事故负完全或主要责任，且有两起是同一人负直接责任的，给予该直接责任人记大过以上处分，调离临床一线科室。</w:t>
      </w:r>
    </w:p>
    <w:p w14:paraId="5E540E9A">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业务责任追究</w:t>
      </w:r>
    </w:p>
    <w:p w14:paraId="76D11473">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1.视情节责令责任医疗机构（科室）限期整改、停业整顿直至吊销执业许可证；</w:t>
      </w:r>
    </w:p>
    <w:p w14:paraId="6A7E396E">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2.给予直接责任人暂停执业活动（或非医务人员停职）6个月至1年，直至吊销执业证书；暂停执业（停职）期间学习相关法律法规和业务知识；</w:t>
      </w:r>
    </w:p>
    <w:p w14:paraId="2AFE4436">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3.对存在医疗事故相关问题的医务人员，限制其参加学术交流、科研项目申报等业务活动一定期限。</w:t>
      </w:r>
    </w:p>
    <w:p w14:paraId="6A181D94">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（三）经济责任追究</w:t>
      </w:r>
    </w:p>
    <w:p w14:paraId="38B16291">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1.责任人员承担一定比例的医院赔偿费用，具体比例根据事故等级、责任程度确定，主要责任人承担比例高于次要责任人；</w:t>
      </w:r>
    </w:p>
    <w:p w14:paraId="168EDA6B">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2.扣除责任科室一定比例的绩效奖金；</w:t>
      </w:r>
    </w:p>
    <w:p w14:paraId="7B26675A">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3.医疗机构承担因医疗事故引发的诉讼费用、鉴定费用等相关经济损失。</w:t>
      </w:r>
    </w:p>
    <w:p w14:paraId="1C6365A5">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责任追究程序</w:t>
      </w:r>
    </w:p>
    <w:p w14:paraId="1EA7DE19">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报告与受理</w:t>
      </w:r>
    </w:p>
    <w:p w14:paraId="7A8C17C1">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1.医疗机构发生医疗事故后，应在规定时间内（一般为12小时内）向县卫生健康局报告，并及时启动内部调查程序；</w:t>
      </w:r>
    </w:p>
    <w:p w14:paraId="4FBD93DC">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2.县卫生健康局接到报告后，对符合本办法责任追究范围的，予以受理并组织调查</w:t>
      </w:r>
      <w:r>
        <w:rPr>
          <w:rFonts w:hint="default" w:ascii="Times New Roman" w:hAnsi="Times New Roman" w:eastAsia="仿宋_GB2312" w:cs="Times New Roman"/>
          <w:sz w:val="32"/>
          <w:szCs w:val="32"/>
          <w:lang w:eastAsia="zh-CN"/>
        </w:rPr>
        <w:t>。</w:t>
      </w:r>
    </w:p>
    <w:p w14:paraId="0C502B14">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调查核实</w:t>
      </w:r>
    </w:p>
    <w:p w14:paraId="380A607F">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1.县卫生健康局组织专门调查组，通过查阅病历、询问当事人、现场勘查等方式，对医疗事故进行全面调查，收集证据；</w:t>
      </w:r>
    </w:p>
    <w:p w14:paraId="2038254E">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2.医疗机构应积极配合调查，提供相关资料和便利条件，不得隐瞒、阻挠。</w:t>
      </w:r>
    </w:p>
    <w:p w14:paraId="43505FBC">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责任认定</w:t>
      </w:r>
    </w:p>
    <w:p w14:paraId="536C1D69">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1.调查组根据调查结果，依据相关法律法规和本办法规定，认定事故性质、责任人员和责任程度；</w:t>
      </w:r>
    </w:p>
    <w:p w14:paraId="43D7CD08">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2.组织专家对复杂疑难医疗事故进行技术评估，为责任认定提供专业意见。</w:t>
      </w:r>
    </w:p>
    <w:p w14:paraId="39EEC03D">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（四）处理决定</w:t>
      </w:r>
    </w:p>
    <w:p w14:paraId="2DC25726">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1.县卫生健康局根据责任认定结果，作出责任追究处理决定，制作书面决定书，送达被处理单位和个人；</w:t>
      </w:r>
    </w:p>
    <w:p w14:paraId="41B208DC">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2.处理决定包括行政处分、行政处罚、经济赔偿等具体内容，并明确执行方式和期限</w:t>
      </w:r>
      <w:r>
        <w:rPr>
          <w:rFonts w:hint="default" w:ascii="Times New Roman" w:hAnsi="Times New Roman" w:eastAsia="仿宋_GB2312" w:cs="Times New Roman"/>
          <w:sz w:val="32"/>
          <w:szCs w:val="32"/>
          <w:lang w:eastAsia="zh-CN"/>
        </w:rPr>
        <w:t>。</w:t>
      </w:r>
    </w:p>
    <w:p w14:paraId="2BBB4F64">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（五）申诉与复核</w:t>
      </w:r>
    </w:p>
    <w:p w14:paraId="3A124535">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1.被处理单位或个人对处理决定不服的，可在规定时间内（一般为15个工作日）向县卫生健康局提出书面申诉；</w:t>
      </w:r>
    </w:p>
    <w:p w14:paraId="25182D90">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2.县卫生健康局收到申诉后，组织复核，根据复核结果维持、变更或撤销原处理决定。</w:t>
      </w:r>
    </w:p>
    <w:p w14:paraId="764BB58D">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附则</w:t>
      </w:r>
    </w:p>
    <w:p w14:paraId="0BB4E73F">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本制度未尽事宜，按照国家和省市相关法律法规及政策规定执行。</w:t>
      </w:r>
    </w:p>
    <w:p w14:paraId="7A4FB087">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2.本制度由民乐县卫生健康局负责解释。</w:t>
      </w:r>
    </w:p>
    <w:p w14:paraId="5FF3FD21">
      <w:pPr>
        <w:pStyle w:val="4"/>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本制度自发布之日起施行。</w:t>
      </w:r>
    </w:p>
    <w:p w14:paraId="208B47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B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74859"/>
    <w:multiLevelType w:val="singleLevel"/>
    <w:tmpl w:val="C43748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52619"/>
    <w:rsid w:val="5B750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rPr>
      <w:rFonts w:ascii="仿宋_GB2312" w:eastAsia="仿宋_GB2312"/>
      <w:kern w:val="2"/>
      <w:sz w:val="30"/>
    </w:rPr>
  </w:style>
  <w:style w:type="paragraph" w:styleId="3">
    <w:name w:val="Body Text"/>
    <w:basedOn w:val="1"/>
    <w:qFormat/>
    <w:uiPriority w:val="0"/>
    <w:pPr>
      <w:adjustRightInd/>
      <w:spacing w:line="240" w:lineRule="auto"/>
      <w:jc w:val="center"/>
      <w:textAlignment w:val="auto"/>
    </w:pPr>
    <w:rPr>
      <w:rFonts w:eastAsia="宋体"/>
      <w:kern w:val="2"/>
      <w:szCs w:val="24"/>
      <w:lang w:eastAsia="zh-CN"/>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2021-12-08T01:24:00Z</dcterms:created>
  <dc:creator>Administrator</dc:creator>
  <cp:lastModifiedBy>包素琴</cp:lastModifiedBy>
  <dcterms:modified xsi:type="dcterms:W3CDTF">2025-12-31T09:00:21Z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245F2BB428CD448E95F2F036503517FF</vt:lpwstr>
  </property>
  <property fmtid="{D5CDD505-2E9C-101B-9397-08002B2CF9AE}" pid="4" name="KSOTemplateDocerSaveRecord">
    <vt:lpwstr>eyJoZGlkIjoiNDljOTdjMzRhN2E1OTQ4N2Q1ZGJhMzcxZWRmZTlmYWIiLCJ1c2VySWQiOiIzMDY5NTk2NjgifQ==</vt:lpwstr>
  </property>
</Properties>
</file>