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0C6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4AB575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民乐县医疗卫生单位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重要事项报备制度</w:t>
      </w:r>
    </w:p>
    <w:bookmarkEnd w:id="0"/>
    <w:p w14:paraId="350D0A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33472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各级医疗机构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规范化管理，强化卫生健康行政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部门的监督指导职责，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结合本县卫生健康系统实际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特</w:t>
      </w:r>
      <w:r>
        <w:rPr>
          <w:rFonts w:hint="default" w:ascii="Times New Roman" w:hAnsi="Times New Roman" w:eastAsia="仿宋_GB2312" w:cs="Times New Roman"/>
          <w:spacing w:val="-6"/>
          <w:sz w:val="32"/>
          <w:szCs w:val="40"/>
        </w:rPr>
        <w:t>制定本制度。</w:t>
      </w:r>
    </w:p>
    <w:p w14:paraId="0135B3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一、报备主体</w:t>
      </w:r>
    </w:p>
    <w:p w14:paraId="547D864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本县行政区域内的县级医院、乡镇卫生院及社区卫生服务中心（站）。</w:t>
      </w:r>
    </w:p>
    <w:p w14:paraId="3EBEA469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报备事项范围</w:t>
      </w:r>
    </w:p>
    <w:p w14:paraId="01C27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40"/>
        </w:rPr>
        <w:t>（一）重要事项报备内容</w:t>
      </w:r>
    </w:p>
    <w:p w14:paraId="32136A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1.重大决策事项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单位中长期发展规划、年度工作计划及总结；重大改革措施、重要政策制定与调整；涉及干部职工切身利益的薪酬分配、职称评聘、岗位设置等事项；单位内部机构设置、职能调整及人员编制变动。</w:t>
      </w:r>
    </w:p>
    <w:p w14:paraId="347876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2.重要人事任免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中层干部任免、重要岗位人员调整；编外人员招聘计划及结果；推荐党代表、人大代表、政协委员候选人名单；干部职工奖惩及重大违纪违法事件处理。</w:t>
      </w:r>
    </w:p>
    <w:p w14:paraId="17B53C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3.重大项目安排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基建项目（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县级医院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单项工程建设及维修项目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万元以上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乡镇卫生院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5万元以上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）；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固定资产购置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县级医院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万元以上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乡镇卫生院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5万元以上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）；国有资产处置（评估价10万元以上）；对外合作项目及重大技术引进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</w:t>
      </w:r>
    </w:p>
    <w:p w14:paraId="6258D7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4.大额资金使用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单笔非日常性支出（县级医院30万元以上，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乡镇卫生院</w:t>
      </w:r>
      <w:r>
        <w:rPr>
          <w:rFonts w:hint="default" w:ascii="Times New Roman" w:hAnsi="Times New Roman" w:eastAsia="仿宋_GB2312" w:cs="Times New Roman"/>
          <w:sz w:val="32"/>
          <w:szCs w:val="40"/>
        </w:rPr>
        <w:t>5万元以上）；年度预算调整、重大专项资金使用；资金出借、担保等财务事项。</w:t>
      </w:r>
    </w:p>
    <w:p w14:paraId="5DAAE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sz w:val="32"/>
          <w:szCs w:val="40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40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重要会议及活动</w:t>
      </w:r>
      <w:r>
        <w:rPr>
          <w:rFonts w:hint="default" w:ascii="Times New Roman" w:hAnsi="Times New Roman" w:eastAsia="楷体_GB2312" w:cs="Times New Roman"/>
          <w:b/>
          <w:bCs/>
          <w:sz w:val="32"/>
          <w:szCs w:val="40"/>
        </w:rPr>
        <w:t>报备内容</w:t>
      </w:r>
    </w:p>
    <w:p w14:paraId="6389C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1.需局领导出席的重要会议；</w:t>
      </w:r>
    </w:p>
    <w:p w14:paraId="6505D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2.卫生健康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行业集中整治类会议；</w:t>
      </w:r>
    </w:p>
    <w:p w14:paraId="497BE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40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单位组织的集体外出学习考察、交流活动；</w:t>
      </w:r>
    </w:p>
    <w:p w14:paraId="7B242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924" w:firstLineChars="3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  <w:sz w:val="32"/>
          <w:szCs w:val="40"/>
        </w:rPr>
        <w:t>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医疗机构开展义诊、健康讲座等大型公共卫生服务活动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；</w:t>
      </w:r>
    </w:p>
    <w:p w14:paraId="56185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接受媒体采访或涉及重大舆情的宣传活动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；</w:t>
      </w:r>
    </w:p>
    <w:p w14:paraId="243BF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6.重要的庆典、纪念等活动</w:t>
      </w:r>
    </w:p>
    <w:p w14:paraId="6EB9E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964" w:firstLineChars="3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40"/>
        </w:rPr>
        <w:t>（三）重大突发事件报备内容</w:t>
      </w:r>
    </w:p>
    <w:p w14:paraId="01475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1.自然灾害、安全生产事故、重大医疗事故；</w:t>
      </w:r>
    </w:p>
    <w:p w14:paraId="2658A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2.重大公共卫生事件及传染病疫情；</w:t>
      </w:r>
    </w:p>
    <w:p w14:paraId="237E9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3.重大医疗纠纷或群体性信访事件；</w:t>
      </w:r>
    </w:p>
    <w:p w14:paraId="75FD6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4.干部职工涉嫌违法违纪案件；</w:t>
      </w:r>
    </w:p>
    <w:p w14:paraId="753D0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5.其他可能引发社会影响的突发事件。</w:t>
      </w:r>
    </w:p>
    <w:p w14:paraId="02889D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三、报备原则与方式</w:t>
      </w:r>
    </w:p>
    <w:p w14:paraId="453551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1.报备原则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坚持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事前报备、急事急报、实事求是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的原则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重大突发事件必须第一时间口头报备，后续补交书面材料。</w:t>
      </w:r>
    </w:p>
    <w:p w14:paraId="5EE51E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2.报备方式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以书面报备为主，填写《民乐县卫生健康局重要事项报备表》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紧急情况可先通过电话报备，24小时内补交书面材料。</w:t>
      </w:r>
    </w:p>
    <w:p w14:paraId="596D72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四、报备时限与程序</w:t>
      </w:r>
    </w:p>
    <w:p w14:paraId="7F619D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1.重要事项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需提前5个工作日向县卫生健康局办公室提交书面材料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人事任免、重大项目等需附相关依据和论证材料。</w:t>
      </w:r>
    </w:p>
    <w:p w14:paraId="768BD8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2.重要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eastAsia="zh-CN"/>
        </w:rPr>
        <w:t>会议及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活动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常规会议及活动：需提前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个工作日由局包抓领导对《报备表》进行审核签字，审核签字后向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县卫生健康局办公室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提交《报备表》；紧急会议及活动：提前1小时分别向局包抓领导和县卫生健康局办公室进行口头报备（口头报备要说明会议/活动的紧急事由、时间、核心内容等关键信息），会后及活动后及时补齐相关材料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</w:t>
      </w:r>
    </w:p>
    <w:p w14:paraId="2B2FE0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3.重大突发事件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应在事件发生后立即电话报告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局主要领导和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卫生健康局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，2小时内提交书面报告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处置过程中需动态续报，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处置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结束后3个工作日内提交总结报告。</w:t>
      </w:r>
    </w:p>
    <w:p w14:paraId="501A54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五、监督管理与责任追究</w:t>
      </w:r>
    </w:p>
    <w:p w14:paraId="0A5845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1.各单位主要负责人对本单位报备工作负总责，承担主体责任，分管领导对分管领域内的报备事项承担直接管理责任，负责督促报备流程落地；</w:t>
      </w:r>
    </w:p>
    <w:p w14:paraId="5538D4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2.局包抓领导对所包抓单位的报备工作承担监督指导责任，需定期核查包抓单位报备事项的完整性、及时性，对发现的问题及时督促整改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；</w:t>
      </w:r>
    </w:p>
    <w:p w14:paraId="02AB9C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3.县卫生健康局办公室负责全局报备事项的统一登记、全程督办、结果反馈及资料归档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；</w:t>
      </w:r>
    </w:p>
    <w:p w14:paraId="029F98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40"/>
        </w:rPr>
        <w:t>.对未按规定报备或瞒报、漏报的单位，予以通报批评；造成严重后果的，依法依规追究相关人员责任。</w:t>
      </w:r>
    </w:p>
    <w:p w14:paraId="74C31B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六、附则</w:t>
      </w:r>
    </w:p>
    <w:p w14:paraId="4A1003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1.本制度自印发之日起施行，由县卫生健康局负责解释；</w:t>
      </w:r>
    </w:p>
    <w:p w14:paraId="058721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201857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附件：《民乐县卫生健康局重要事项报备表》</w:t>
      </w:r>
    </w:p>
    <w:p w14:paraId="444475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宋体" w:cs="Times New Roman"/>
          <w:sz w:val="32"/>
          <w:szCs w:val="40"/>
        </w:rPr>
        <w:sectPr>
          <w:footerReference r:id="rId3" w:type="default"/>
          <w:pgSz w:w="11906" w:h="16838"/>
          <w:pgMar w:top="2098" w:right="1474" w:bottom="1984" w:left="1587" w:header="851" w:footer="1361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3F0F21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附件：</w:t>
      </w:r>
    </w:p>
    <w:p w14:paraId="7A291A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民乐县卫生健康局重要事项报备表</w:t>
      </w:r>
    </w:p>
    <w:p w14:paraId="302C76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8C89E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报备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报备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7"/>
        <w:tblpPr w:leftFromText="180" w:rightFromText="180" w:vertAnchor="text" w:horzAnchor="page" w:tblpX="1770" w:tblpY="2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6742"/>
      </w:tblGrid>
      <w:tr w14:paraId="0BAC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80" w:type="dxa"/>
            <w:noWrap w:val="0"/>
            <w:vAlign w:val="center"/>
          </w:tcPr>
          <w:p w14:paraId="3F18E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事项名称</w:t>
            </w:r>
          </w:p>
        </w:tc>
        <w:tc>
          <w:tcPr>
            <w:tcW w:w="6742" w:type="dxa"/>
            <w:noWrap w:val="0"/>
            <w:vAlign w:val="center"/>
          </w:tcPr>
          <w:p w14:paraId="18BC66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</w:tr>
      <w:tr w14:paraId="178F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80" w:type="dxa"/>
            <w:noWrap w:val="0"/>
            <w:vAlign w:val="center"/>
          </w:tcPr>
          <w:p w14:paraId="13A51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事项类型</w:t>
            </w:r>
          </w:p>
        </w:tc>
        <w:tc>
          <w:tcPr>
            <w:tcW w:w="6742" w:type="dxa"/>
            <w:noWrap w:val="0"/>
            <w:vAlign w:val="center"/>
          </w:tcPr>
          <w:p w14:paraId="3A8B8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□重要事项    □重要会议及活动   □重大突发事件</w:t>
            </w:r>
          </w:p>
        </w:tc>
      </w:tr>
      <w:tr w14:paraId="3E3E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0" w:type="dxa"/>
            <w:noWrap w:val="0"/>
            <w:vAlign w:val="center"/>
          </w:tcPr>
          <w:p w14:paraId="44E21D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  <w:t>主要内容（简述核心内容）</w:t>
            </w:r>
          </w:p>
        </w:tc>
        <w:tc>
          <w:tcPr>
            <w:tcW w:w="6742" w:type="dxa"/>
            <w:noWrap w:val="0"/>
            <w:vAlign w:val="center"/>
          </w:tcPr>
          <w:p w14:paraId="1FDD59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</w:tr>
      <w:tr w14:paraId="5408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780" w:type="dxa"/>
            <w:noWrap w:val="0"/>
            <w:vAlign w:val="center"/>
          </w:tcPr>
          <w:p w14:paraId="3B819A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  <w:t>涉及金额</w:t>
            </w:r>
          </w:p>
        </w:tc>
        <w:tc>
          <w:tcPr>
            <w:tcW w:w="6742" w:type="dxa"/>
            <w:noWrap w:val="0"/>
            <w:vAlign w:val="center"/>
          </w:tcPr>
          <w:p w14:paraId="23864D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single"/>
                <w:vertAlign w:val="baseline"/>
                <w:lang w:val="en-US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□是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万元      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□否</w:t>
            </w:r>
          </w:p>
        </w:tc>
      </w:tr>
      <w:tr w14:paraId="4498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80" w:type="dxa"/>
            <w:noWrap w:val="0"/>
            <w:vAlign w:val="center"/>
          </w:tcPr>
          <w:p w14:paraId="324C2C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  <w:t>单位负责人意见</w:t>
            </w:r>
          </w:p>
        </w:tc>
        <w:tc>
          <w:tcPr>
            <w:tcW w:w="6742" w:type="dxa"/>
            <w:noWrap w:val="0"/>
            <w:vAlign w:val="bottom"/>
          </w:tcPr>
          <w:p w14:paraId="4A5928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日期：</w:t>
            </w:r>
          </w:p>
        </w:tc>
      </w:tr>
      <w:tr w14:paraId="3B4F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780" w:type="dxa"/>
            <w:noWrap w:val="0"/>
            <w:vAlign w:val="center"/>
          </w:tcPr>
          <w:p w14:paraId="32EF5B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  <w:t>县卫健局</w:t>
            </w:r>
          </w:p>
          <w:p w14:paraId="794678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  <w:t>审核意见</w:t>
            </w:r>
          </w:p>
        </w:tc>
        <w:tc>
          <w:tcPr>
            <w:tcW w:w="6742" w:type="dxa"/>
            <w:noWrap w:val="0"/>
            <w:vAlign w:val="bottom"/>
          </w:tcPr>
          <w:p w14:paraId="699A42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日期：</w:t>
            </w:r>
          </w:p>
        </w:tc>
      </w:tr>
      <w:tr w14:paraId="7142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780" w:type="dxa"/>
            <w:noWrap w:val="0"/>
            <w:vAlign w:val="center"/>
          </w:tcPr>
          <w:p w14:paraId="1D09D1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  <w:t>备注</w:t>
            </w:r>
          </w:p>
        </w:tc>
        <w:tc>
          <w:tcPr>
            <w:tcW w:w="6742" w:type="dxa"/>
            <w:noWrap w:val="0"/>
            <w:vAlign w:val="center"/>
          </w:tcPr>
          <w:p w14:paraId="1DB8D3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</w:tr>
    </w:tbl>
    <w:p w14:paraId="722A9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B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3651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7FFC9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7FFC9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50B12"/>
    <w:rsid w:val="6180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ascii="仿宋_GB2312" w:eastAsia="仿宋_GB2312"/>
      <w:kern w:val="2"/>
      <w:sz w:val="30"/>
    </w:rPr>
  </w:style>
  <w:style w:type="paragraph" w:styleId="3">
    <w:name w:val="Body Text"/>
    <w:basedOn w:val="1"/>
    <w:qFormat/>
    <w:uiPriority w:val="0"/>
    <w:pPr>
      <w:adjustRightInd/>
      <w:spacing w:line="240" w:lineRule="auto"/>
      <w:jc w:val="center"/>
      <w:textAlignment w:val="auto"/>
    </w:pPr>
    <w:rPr>
      <w:rFonts w:eastAsia="宋体"/>
      <w:kern w:val="2"/>
      <w:szCs w:val="24"/>
      <w:lang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2021-12-08T01:24:00Z</dcterms:created>
  <dc:creator>Administrator</dc:creator>
  <cp:lastModifiedBy>包素琴</cp:lastModifiedBy>
  <dcterms:modified xsi:type="dcterms:W3CDTF">2025-12-31T08:30:44Z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245F2BB428CD448E95F2F036503517FF</vt:lpwstr>
  </property>
  <property fmtid="{D5CDD505-2E9C-101B-9397-08002B2CF9AE}" pid="4" name="KSOTemplateDocerSaveRecord">
    <vt:lpwstr>eyJoZGlkIjoiNDljOTdjMzRhN2E1OTQ4N2Q1ZGJhMzcxZWRmZTlmYWIiLCJ1c2VySWQiOiIzMDY5NTk2NjgifQ==</vt:lpwstr>
  </property>
</Properties>
</file>