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3157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14:paraId="34DC5092">
      <w:pPr>
        <w:keepNext w:val="0"/>
        <w:keepLines w:val="0"/>
        <w:pageBreakBefore w:val="0"/>
        <w:widowControl w:val="0"/>
        <w:kinsoku/>
        <w:wordWrap/>
        <w:overflowPunct/>
        <w:topLinePunct w:val="0"/>
        <w:autoSpaceDE/>
        <w:autoSpaceDN/>
        <w:bidi w:val="0"/>
        <w:adjustRightInd/>
        <w:snapToGrid/>
        <w:spacing w:before="140" w:line="700" w:lineRule="exact"/>
        <w:ind w:left="1714"/>
        <w:textAlignment w:val="auto"/>
        <w:rPr>
          <w:rFonts w:hint="default" w:ascii="Times New Roman" w:hAnsi="Times New Roman" w:eastAsia="方正小标宋简体" w:cs="Times New Roman"/>
          <w:spacing w:val="9"/>
          <w:sz w:val="44"/>
          <w:szCs w:val="44"/>
          <w:lang w:eastAsia="zh-CN"/>
        </w:rPr>
      </w:pPr>
    </w:p>
    <w:p w14:paraId="4A2734C4">
      <w:pPr>
        <w:keepNext w:val="0"/>
        <w:keepLines w:val="0"/>
        <w:pageBreakBefore w:val="0"/>
        <w:widowControl w:val="0"/>
        <w:kinsoku/>
        <w:wordWrap/>
        <w:overflowPunct/>
        <w:topLinePunct w:val="0"/>
        <w:autoSpaceDE/>
        <w:autoSpaceDN/>
        <w:bidi w:val="0"/>
        <w:adjustRightInd/>
        <w:snapToGrid/>
        <w:spacing w:before="140" w:line="700" w:lineRule="exact"/>
        <w:ind w:left="1714"/>
        <w:textAlignment w:val="auto"/>
        <w:rPr>
          <w:rFonts w:hint="default" w:ascii="Times New Roman" w:hAnsi="Times New Roman" w:eastAsia="方正小标宋简体" w:cs="Times New Roman"/>
          <w:spacing w:val="9"/>
          <w:sz w:val="44"/>
          <w:szCs w:val="44"/>
          <w:lang w:eastAsia="zh-CN"/>
        </w:rPr>
      </w:pPr>
    </w:p>
    <w:p w14:paraId="51700E2A">
      <w:pPr>
        <w:keepNext w:val="0"/>
        <w:keepLines w:val="0"/>
        <w:pageBreakBefore w:val="0"/>
        <w:widowControl w:val="0"/>
        <w:kinsoku/>
        <w:wordWrap/>
        <w:overflowPunct/>
        <w:topLinePunct w:val="0"/>
        <w:autoSpaceDE/>
        <w:autoSpaceDN/>
        <w:bidi w:val="0"/>
        <w:adjustRightInd/>
        <w:snapToGrid/>
        <w:spacing w:before="140" w:line="700" w:lineRule="exact"/>
        <w:ind w:left="1714"/>
        <w:textAlignment w:val="auto"/>
        <w:rPr>
          <w:rFonts w:hint="default" w:ascii="Times New Roman" w:hAnsi="Times New Roman" w:eastAsia="方正小标宋简体" w:cs="Times New Roman"/>
          <w:spacing w:val="9"/>
          <w:sz w:val="44"/>
          <w:szCs w:val="44"/>
          <w:lang w:eastAsia="zh-CN"/>
        </w:rPr>
      </w:pPr>
    </w:p>
    <w:p w14:paraId="25ACA1BB">
      <w:pPr>
        <w:keepNext w:val="0"/>
        <w:keepLines w:val="0"/>
        <w:pageBreakBefore w:val="0"/>
        <w:widowControl w:val="0"/>
        <w:kinsoku/>
        <w:wordWrap/>
        <w:overflowPunct/>
        <w:topLinePunct w:val="0"/>
        <w:autoSpaceDE/>
        <w:autoSpaceDN/>
        <w:bidi w:val="0"/>
        <w:adjustRightInd/>
        <w:snapToGrid/>
        <w:spacing w:before="140" w:line="700" w:lineRule="exact"/>
        <w:ind w:left="1714" w:firstLine="1374" w:firstLineChars="300"/>
        <w:jc w:val="both"/>
        <w:textAlignment w:val="auto"/>
        <w:rPr>
          <w:rFonts w:hint="default" w:ascii="Times New Roman" w:hAnsi="Times New Roman" w:eastAsia="方正小标宋简体" w:cs="Times New Roman"/>
          <w:sz w:val="44"/>
          <w:szCs w:val="44"/>
        </w:rPr>
      </w:pPr>
      <w:bookmarkStart w:id="0" w:name="OLE_LINK1"/>
      <w:r>
        <w:rPr>
          <w:rFonts w:hint="default" w:ascii="Times New Roman" w:hAnsi="Times New Roman" w:eastAsia="方正小标宋简体" w:cs="Times New Roman"/>
          <w:spacing w:val="9"/>
          <w:sz w:val="44"/>
          <w:szCs w:val="44"/>
          <w:lang w:eastAsia="zh-CN"/>
        </w:rPr>
        <w:t>民乐县</w:t>
      </w:r>
      <w:r>
        <w:rPr>
          <w:rFonts w:hint="eastAsia" w:ascii="Times New Roman" w:hAnsi="Times New Roman" w:eastAsia="方正小标宋简体" w:cs="Times New Roman"/>
          <w:spacing w:val="9"/>
          <w:sz w:val="44"/>
          <w:szCs w:val="44"/>
          <w:lang w:eastAsia="zh-CN"/>
        </w:rPr>
        <w:t>总工会</w:t>
      </w:r>
    </w:p>
    <w:p w14:paraId="0394BC54">
      <w:pPr>
        <w:keepNext w:val="0"/>
        <w:keepLines w:val="0"/>
        <w:pageBreakBefore w:val="0"/>
        <w:widowControl w:val="0"/>
        <w:kinsoku/>
        <w:wordWrap/>
        <w:overflowPunct/>
        <w:topLinePunct w:val="0"/>
        <w:autoSpaceDE/>
        <w:autoSpaceDN/>
        <w:bidi w:val="0"/>
        <w:adjustRightInd/>
        <w:snapToGrid/>
        <w:spacing w:before="142" w:line="700" w:lineRule="exact"/>
        <w:jc w:val="center"/>
        <w:textAlignment w:val="auto"/>
        <w:rPr>
          <w:rFonts w:hint="default" w:ascii="Times New Roman" w:hAnsi="Times New Roman" w:eastAsia="方正小标宋简体" w:cs="Times New Roman"/>
          <w:sz w:val="44"/>
          <w:szCs w:val="44"/>
          <w:lang w:eastAsia="zh-CN"/>
        </w:rPr>
        <w:sectPr>
          <w:pgSz w:w="11907" w:h="16839"/>
          <w:pgMar w:top="2098" w:right="1474" w:bottom="1984" w:left="1587" w:header="964" w:footer="1276" w:gutter="0"/>
          <w:pgNumType w:fmt="decimal" w:start="5"/>
          <w:cols w:space="0" w:num="1"/>
          <w:rtlGutter w:val="0"/>
          <w:docGrid w:linePitch="0" w:charSpace="0"/>
        </w:sectPr>
      </w:pPr>
      <w:r>
        <w:rPr>
          <w:rFonts w:hint="default" w:ascii="Times New Roman" w:hAnsi="Times New Roman" w:eastAsia="方正小标宋简体" w:cs="Times New Roman"/>
          <w:spacing w:val="8"/>
          <w:sz w:val="44"/>
          <w:szCs w:val="44"/>
        </w:rPr>
        <w:t>202</w:t>
      </w:r>
      <w:r>
        <w:rPr>
          <w:rFonts w:hint="eastAsia" w:ascii="Times New Roman" w:hAnsi="Times New Roman" w:eastAsia="方正小标宋简体" w:cs="Times New Roman"/>
          <w:spacing w:val="8"/>
          <w:sz w:val="44"/>
          <w:szCs w:val="44"/>
          <w:lang w:val="en-US" w:eastAsia="zh-CN"/>
        </w:rPr>
        <w:t>6</w:t>
      </w:r>
      <w:r>
        <w:rPr>
          <w:rFonts w:hint="default" w:ascii="Times New Roman" w:hAnsi="Times New Roman" w:eastAsia="方正小标宋简体" w:cs="Times New Roman"/>
          <w:spacing w:val="8"/>
          <w:sz w:val="44"/>
          <w:szCs w:val="44"/>
        </w:rPr>
        <w:t>年部门（单位）预算公开情况说</w:t>
      </w:r>
      <w:r>
        <w:rPr>
          <w:rFonts w:hint="default" w:ascii="Times New Roman" w:hAnsi="Times New Roman" w:eastAsia="方正小标宋简体" w:cs="Times New Roman"/>
          <w:spacing w:val="8"/>
          <w:sz w:val="44"/>
          <w:szCs w:val="44"/>
          <w:lang w:eastAsia="zh-CN"/>
        </w:rPr>
        <w:t>明</w:t>
      </w:r>
    </w:p>
    <w:p w14:paraId="6EDB70B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rPr>
      </w:pPr>
    </w:p>
    <w:p w14:paraId="672614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 录</w:t>
      </w:r>
    </w:p>
    <w:p w14:paraId="0FAF68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黑体" w:cs="Times New Roman"/>
          <w:sz w:val="32"/>
          <w:szCs w:val="32"/>
        </w:rPr>
      </w:pPr>
    </w:p>
    <w:p w14:paraId="5F82F2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9" w:firstLineChars="200"/>
        <w:jc w:val="left"/>
        <w:textAlignment w:val="auto"/>
        <w:rPr>
          <w:rFonts w:hint="default" w:ascii="Times New Roman" w:hAnsi="Times New Roman" w:eastAsia="楷体_GB2312" w:cs="Times New Roman"/>
          <w:b/>
          <w:bCs/>
          <w:spacing w:val="-1"/>
          <w:sz w:val="32"/>
          <w:szCs w:val="32"/>
        </w:rPr>
      </w:pPr>
      <w:r>
        <w:rPr>
          <w:rFonts w:hint="default" w:ascii="Times New Roman" w:hAnsi="Times New Roman" w:eastAsia="楷体_GB2312" w:cs="Times New Roman"/>
          <w:b/>
          <w:bCs/>
          <w:spacing w:val="-1"/>
          <w:sz w:val="32"/>
          <w:szCs w:val="32"/>
        </w:rPr>
        <w:t>第一部分  单位基本概况</w:t>
      </w:r>
    </w:p>
    <w:p w14:paraId="6AAAC8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一、部门（单位）职责</w:t>
      </w:r>
    </w:p>
    <w:p w14:paraId="359A66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二、机构设置</w:t>
      </w:r>
    </w:p>
    <w:p w14:paraId="74BB4F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9" w:firstLineChars="200"/>
        <w:jc w:val="left"/>
        <w:textAlignment w:val="auto"/>
        <w:rPr>
          <w:rFonts w:hint="default" w:ascii="Times New Roman" w:hAnsi="Times New Roman" w:eastAsia="楷体_GB2312" w:cs="Times New Roman"/>
          <w:b/>
          <w:bCs/>
          <w:spacing w:val="-1"/>
          <w:sz w:val="32"/>
          <w:szCs w:val="32"/>
        </w:rPr>
      </w:pPr>
      <w:r>
        <w:rPr>
          <w:rFonts w:hint="default" w:ascii="Times New Roman" w:hAnsi="Times New Roman" w:eastAsia="楷体_GB2312" w:cs="Times New Roman"/>
          <w:b/>
          <w:bCs/>
          <w:spacing w:val="-1"/>
          <w:sz w:val="32"/>
          <w:szCs w:val="32"/>
        </w:rPr>
        <w:t xml:space="preserve">第二部分 </w:t>
      </w:r>
      <w:r>
        <w:rPr>
          <w:rFonts w:hint="default" w:ascii="Times New Roman" w:hAnsi="Times New Roman" w:eastAsia="楷体_GB2312" w:cs="Times New Roman"/>
          <w:b/>
          <w:bCs/>
          <w:spacing w:val="-1"/>
          <w:sz w:val="32"/>
          <w:szCs w:val="32"/>
          <w:lang w:val="en-US" w:eastAsia="zh-CN"/>
        </w:rPr>
        <w:t xml:space="preserve"> </w:t>
      </w:r>
      <w:r>
        <w:rPr>
          <w:rFonts w:hint="default" w:ascii="Times New Roman" w:hAnsi="Times New Roman" w:eastAsia="楷体_GB2312" w:cs="Times New Roman"/>
          <w:b/>
          <w:bCs/>
          <w:spacing w:val="-1"/>
          <w:sz w:val="32"/>
          <w:szCs w:val="32"/>
        </w:rPr>
        <w:t>202</w:t>
      </w:r>
      <w:r>
        <w:rPr>
          <w:rFonts w:hint="eastAsia" w:ascii="Times New Roman" w:hAnsi="Times New Roman" w:eastAsia="楷体_GB2312" w:cs="Times New Roman"/>
          <w:b/>
          <w:bCs/>
          <w:spacing w:val="-1"/>
          <w:sz w:val="32"/>
          <w:szCs w:val="32"/>
          <w:lang w:val="en-US" w:eastAsia="zh-CN"/>
        </w:rPr>
        <w:t>6</w:t>
      </w:r>
      <w:r>
        <w:rPr>
          <w:rFonts w:hint="default" w:ascii="Times New Roman" w:hAnsi="Times New Roman" w:eastAsia="楷体_GB2312" w:cs="Times New Roman"/>
          <w:b/>
          <w:bCs/>
          <w:spacing w:val="-1"/>
          <w:sz w:val="32"/>
          <w:szCs w:val="32"/>
        </w:rPr>
        <w:t>年单位预算情况说明</w:t>
      </w:r>
    </w:p>
    <w:p w14:paraId="01EA42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三、收支总体情况</w:t>
      </w:r>
    </w:p>
    <w:p w14:paraId="17F08C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四、一般公共预算情况</w:t>
      </w:r>
    </w:p>
    <w:p w14:paraId="4BB5A4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五、“三公”经费、培训费、会议费等财政拨款情况</w:t>
      </w:r>
    </w:p>
    <w:p w14:paraId="072F95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六、机关运行经费财政拨款情况</w:t>
      </w:r>
    </w:p>
    <w:p w14:paraId="45BA22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七、政府采购安排情况</w:t>
      </w:r>
    </w:p>
    <w:p w14:paraId="14D048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八、国有资产占用情况</w:t>
      </w:r>
    </w:p>
    <w:p w14:paraId="5BF97C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九、其他重要事项情况说明</w:t>
      </w:r>
    </w:p>
    <w:p w14:paraId="007694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十、预算绩效管理情况</w:t>
      </w:r>
    </w:p>
    <w:p w14:paraId="51C902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十一、名词解释</w:t>
      </w:r>
    </w:p>
    <w:p w14:paraId="5B052D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9" w:firstLineChars="200"/>
        <w:jc w:val="left"/>
        <w:textAlignment w:val="auto"/>
        <w:rPr>
          <w:rFonts w:hint="default" w:ascii="Times New Roman" w:hAnsi="Times New Roman" w:eastAsia="楷体_GB2312" w:cs="Times New Roman"/>
          <w:b/>
          <w:bCs/>
          <w:spacing w:val="-1"/>
          <w:sz w:val="32"/>
          <w:szCs w:val="32"/>
        </w:rPr>
      </w:pPr>
      <w:r>
        <w:rPr>
          <w:rFonts w:hint="default" w:ascii="Times New Roman" w:hAnsi="Times New Roman" w:eastAsia="楷体_GB2312" w:cs="Times New Roman"/>
          <w:b/>
          <w:bCs/>
          <w:spacing w:val="-1"/>
          <w:sz w:val="32"/>
          <w:szCs w:val="32"/>
        </w:rPr>
        <w:t>第三部分</w:t>
      </w:r>
      <w:r>
        <w:rPr>
          <w:rFonts w:hint="default" w:ascii="Times New Roman" w:hAnsi="Times New Roman" w:eastAsia="楷体_GB2312" w:cs="Times New Roman"/>
          <w:b/>
          <w:bCs/>
          <w:spacing w:val="-1"/>
          <w:sz w:val="32"/>
          <w:szCs w:val="32"/>
          <w:lang w:val="en-US" w:eastAsia="zh-CN"/>
        </w:rPr>
        <w:t xml:space="preserve">  </w:t>
      </w:r>
      <w:r>
        <w:rPr>
          <w:rFonts w:hint="default" w:ascii="Times New Roman" w:hAnsi="Times New Roman" w:eastAsia="楷体_GB2312" w:cs="Times New Roman"/>
          <w:b/>
          <w:bCs/>
          <w:spacing w:val="-1"/>
          <w:sz w:val="32"/>
          <w:szCs w:val="32"/>
        </w:rPr>
        <w:t>202</w:t>
      </w:r>
      <w:r>
        <w:rPr>
          <w:rFonts w:hint="eastAsia" w:ascii="Times New Roman" w:hAnsi="Times New Roman" w:eastAsia="楷体_GB2312" w:cs="Times New Roman"/>
          <w:b/>
          <w:bCs/>
          <w:spacing w:val="-1"/>
          <w:sz w:val="32"/>
          <w:szCs w:val="32"/>
          <w:lang w:val="en-US" w:eastAsia="zh-CN"/>
        </w:rPr>
        <w:t>6</w:t>
      </w:r>
      <w:r>
        <w:rPr>
          <w:rFonts w:hint="default" w:ascii="Times New Roman" w:hAnsi="Times New Roman" w:eastAsia="楷体_GB2312" w:cs="Times New Roman"/>
          <w:b/>
          <w:bCs/>
          <w:spacing w:val="-1"/>
          <w:sz w:val="32"/>
          <w:szCs w:val="32"/>
        </w:rPr>
        <w:t>年单位预算公开表</w:t>
      </w:r>
    </w:p>
    <w:p w14:paraId="2D606D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一、部门（单位）收支总体情况表</w:t>
      </w:r>
    </w:p>
    <w:p w14:paraId="0DED1F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二、部门（单位）收入总体情况表</w:t>
      </w:r>
    </w:p>
    <w:p w14:paraId="3F8FAE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三、部门（单位）支出总体情况表</w:t>
      </w:r>
    </w:p>
    <w:p w14:paraId="6F0152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四、财政拨款收支总体情况表</w:t>
      </w:r>
    </w:p>
    <w:p w14:paraId="4AA1D7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五、财政拨款支出表</w:t>
      </w:r>
    </w:p>
    <w:p w14:paraId="592592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六、一般公共预算支出情况表</w:t>
      </w:r>
    </w:p>
    <w:p w14:paraId="6EB960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七、一般公共预算基本支出情况表</w:t>
      </w:r>
    </w:p>
    <w:p w14:paraId="557280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八、一般公共预算“三公”经费、会议费、培训费支出情况表</w:t>
      </w:r>
    </w:p>
    <w:p w14:paraId="7F6509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九、一般公共预算机关运行经费</w:t>
      </w:r>
    </w:p>
    <w:p w14:paraId="3C0433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十、政府性基金预算支出情况表</w:t>
      </w:r>
    </w:p>
    <w:p w14:paraId="4AD090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十一、部门管理转移支付表</w:t>
      </w:r>
    </w:p>
    <w:p w14:paraId="506C89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十二、国有资本经营预算支出情况表</w:t>
      </w:r>
    </w:p>
    <w:p w14:paraId="6AADB5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r>
        <w:rPr>
          <w:rFonts w:hint="default" w:ascii="Times New Roman" w:hAnsi="Times New Roman" w:eastAsia="仿宋_GB2312" w:cs="Times New Roman"/>
          <w:b w:val="0"/>
          <w:bCs w:val="0"/>
          <w:spacing w:val="-1"/>
          <w:sz w:val="32"/>
          <w:szCs w:val="32"/>
        </w:rPr>
        <w:t>十三、部门（单位）整体绩效目标表</w:t>
      </w:r>
    </w:p>
    <w:p w14:paraId="2E94A7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rightChars="0" w:firstLine="636" w:firstLineChars="200"/>
        <w:jc w:val="both"/>
        <w:textAlignment w:val="auto"/>
        <w:rPr>
          <w:rFonts w:hint="default" w:ascii="Times New Roman" w:hAnsi="Times New Roman" w:cs="Times New Roman"/>
          <w:b/>
          <w:kern w:val="0"/>
          <w:sz w:val="36"/>
          <w:szCs w:val="36"/>
          <w:lang w:val="en-US" w:eastAsia="zh-CN" w:bidi="ar"/>
        </w:rPr>
      </w:pPr>
      <w:r>
        <w:rPr>
          <w:rFonts w:hint="default" w:ascii="Times New Roman" w:hAnsi="Times New Roman" w:eastAsia="仿宋_GB2312" w:cs="Times New Roman"/>
          <w:b w:val="0"/>
          <w:bCs w:val="0"/>
          <w:spacing w:val="-1"/>
          <w:sz w:val="32"/>
          <w:szCs w:val="32"/>
          <w:lang w:eastAsia="zh-CN"/>
        </w:rPr>
        <w:t>十四、</w:t>
      </w:r>
      <w:r>
        <w:rPr>
          <w:rFonts w:hint="default" w:ascii="Times New Roman" w:hAnsi="Times New Roman" w:eastAsia="仿宋_GB2312" w:cs="Times New Roman"/>
          <w:kern w:val="0"/>
          <w:sz w:val="32"/>
          <w:szCs w:val="32"/>
          <w:lang w:val="en-US" w:eastAsia="zh-CN" w:bidi="ar-SA"/>
        </w:rPr>
        <w:t>项目绩效目标申报表</w:t>
      </w:r>
    </w:p>
    <w:p w14:paraId="4CE45D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left"/>
        <w:textAlignment w:val="auto"/>
        <w:rPr>
          <w:rFonts w:hint="default" w:ascii="Times New Roman" w:hAnsi="Times New Roman" w:eastAsia="仿宋_GB2312" w:cs="Times New Roman"/>
          <w:b w:val="0"/>
          <w:bCs w:val="0"/>
          <w:spacing w:val="-1"/>
          <w:sz w:val="32"/>
          <w:szCs w:val="32"/>
        </w:rPr>
      </w:pPr>
    </w:p>
    <w:p w14:paraId="59E5FE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left"/>
        <w:textAlignment w:val="auto"/>
        <w:rPr>
          <w:rFonts w:hint="default" w:ascii="Times New Roman" w:hAnsi="Times New Roman" w:eastAsia="方正小标宋简体" w:cs="Times New Roman"/>
          <w:sz w:val="44"/>
          <w:szCs w:val="44"/>
        </w:rPr>
      </w:pPr>
    </w:p>
    <w:p w14:paraId="0D8CAB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052AB3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4481EB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75766A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0A0C48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08F8D6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05A122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513F72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16E3A6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25C4C9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11297C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default" w:ascii="Times New Roman" w:hAnsi="Times New Roman" w:eastAsia="方正小标宋简体" w:cs="Times New Roman"/>
          <w:sz w:val="44"/>
          <w:szCs w:val="44"/>
        </w:rPr>
      </w:pPr>
    </w:p>
    <w:p w14:paraId="3A92A830">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jc w:val="center"/>
        <w:textAlignment w:val="auto"/>
        <w:rPr>
          <w:rFonts w:hint="default" w:ascii="Times New Roman" w:hAnsi="Times New Roman" w:eastAsia="黑体" w:cs="Times New Roman"/>
          <w:b w:val="0"/>
          <w:bCs w:val="0"/>
          <w:spacing w:val="-8"/>
          <w:sz w:val="32"/>
          <w:szCs w:val="32"/>
        </w:rPr>
      </w:pPr>
      <w:r>
        <w:rPr>
          <w:rFonts w:hint="default" w:ascii="Times New Roman" w:hAnsi="Times New Roman" w:eastAsia="黑体" w:cs="Times New Roman"/>
          <w:b w:val="0"/>
          <w:bCs w:val="0"/>
          <w:spacing w:val="-8"/>
          <w:sz w:val="32"/>
          <w:szCs w:val="32"/>
        </w:rPr>
        <w:t>前</w:t>
      </w:r>
      <w:r>
        <w:rPr>
          <w:rFonts w:hint="eastAsia" w:ascii="Times New Roman" w:hAnsi="Times New Roman" w:eastAsia="黑体" w:cs="Times New Roman"/>
          <w:b w:val="0"/>
          <w:bCs w:val="0"/>
          <w:spacing w:val="-8"/>
          <w:sz w:val="32"/>
          <w:szCs w:val="32"/>
          <w:lang w:val="en-US" w:eastAsia="zh-CN"/>
        </w:rPr>
        <w:t xml:space="preserve">  </w:t>
      </w:r>
      <w:r>
        <w:rPr>
          <w:rFonts w:hint="default" w:ascii="Times New Roman" w:hAnsi="Times New Roman" w:eastAsia="黑体" w:cs="Times New Roman"/>
          <w:b w:val="0"/>
          <w:bCs w:val="0"/>
          <w:spacing w:val="-8"/>
          <w:sz w:val="32"/>
          <w:szCs w:val="32"/>
        </w:rPr>
        <w:t>言</w:t>
      </w:r>
    </w:p>
    <w:p w14:paraId="64D69C2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pacing w:val="-1"/>
          <w:sz w:val="32"/>
          <w:szCs w:val="32"/>
        </w:rPr>
        <w:t>按照《中华人民共和国预算法》《中华人民共和国预算法实施条例》《地方预决算公开操作规程》和《中共甘肃省委办公厅甘肃省人民政府办</w:t>
      </w:r>
      <w:r>
        <w:rPr>
          <w:rFonts w:hint="default" w:ascii="Times New Roman" w:hAnsi="Times New Roman" w:eastAsia="仿宋_GB2312" w:cs="Times New Roman"/>
          <w:spacing w:val="-2"/>
          <w:sz w:val="32"/>
          <w:szCs w:val="32"/>
        </w:rPr>
        <w:t>公厅关</w:t>
      </w:r>
      <w:r>
        <w:rPr>
          <w:rFonts w:hint="default" w:ascii="Times New Roman" w:hAnsi="Times New Roman" w:eastAsia="仿宋_GB2312" w:cs="Times New Roman"/>
          <w:spacing w:val="-1"/>
          <w:sz w:val="32"/>
          <w:szCs w:val="32"/>
        </w:rPr>
        <w:t>于进一步推进预算公开工作的实施方案》《甘肃省财政厅关于转发＜财政部关</w:t>
      </w:r>
      <w:r>
        <w:rPr>
          <w:rFonts w:hint="default" w:ascii="Times New Roman" w:hAnsi="Times New Roman" w:eastAsia="仿宋_GB2312" w:cs="Times New Roman"/>
          <w:spacing w:val="-2"/>
          <w:sz w:val="32"/>
          <w:szCs w:val="32"/>
        </w:rPr>
        <w:t>于推进部门所属单位预算公开的指导意见＞的通知》，现将202</w:t>
      </w:r>
      <w:r>
        <w:rPr>
          <w:rFonts w:hint="eastAsia" w:ascii="Times New Roman" w:hAnsi="Times New Roman" w:eastAsia="仿宋_GB2312" w:cs="Times New Roman"/>
          <w:spacing w:val="-2"/>
          <w:sz w:val="32"/>
          <w:szCs w:val="32"/>
          <w:lang w:val="en-US" w:eastAsia="zh-CN"/>
        </w:rPr>
        <w:t>6</w:t>
      </w:r>
      <w:r>
        <w:rPr>
          <w:rFonts w:hint="default" w:ascii="Times New Roman" w:hAnsi="Times New Roman" w:eastAsia="仿宋_GB2312" w:cs="Times New Roman"/>
          <w:spacing w:val="-2"/>
          <w:sz w:val="32"/>
          <w:szCs w:val="32"/>
        </w:rPr>
        <w:t>部门预算公开如下：</w:t>
      </w:r>
    </w:p>
    <w:p w14:paraId="118A11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一、部门职责</w:t>
      </w:r>
    </w:p>
    <w:p w14:paraId="5D40FE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仿宋_GB2312" w:eastAsia="仿宋_GB2312" w:cs="仿宋_GB2312"/>
          <w:color w:val="000000"/>
          <w:sz w:val="31"/>
          <w:szCs w:val="31"/>
        </w:rPr>
        <w:t>（1）根据党的路线、方针、政策，党在每个时期的中心任务和党的工运方针，围绕全县改革发展稳定大局，贯彻执行中国工会全国代表大会、全省工会代表大会、全市工会代表大会、全县工会代表大会和县总工会全委会议作出的决定。确定工会工作的指导方针和任务，指导全县工会工作。</w:t>
      </w:r>
    </w:p>
    <w:p w14:paraId="31A683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仿宋_GB2312" w:eastAsia="仿宋_GB2312" w:cs="仿宋_GB2312"/>
          <w:color w:val="000000"/>
          <w:sz w:val="31"/>
          <w:szCs w:val="31"/>
        </w:rPr>
        <w:t>（2）依据法律和章程，组织和指导全县各级工会贯彻落实党的全心全意依靠工人阶级的根本指导方针，履行工会的“维护、建设、参与、教育”等各项社会职能，进一步突出和履行维护职能。</w:t>
      </w:r>
    </w:p>
    <w:p w14:paraId="2EC59C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仿宋_GB2312" w:eastAsia="仿宋_GB2312" w:cs="仿宋_GB2312"/>
          <w:color w:val="000000"/>
          <w:sz w:val="31"/>
          <w:szCs w:val="31"/>
        </w:rPr>
        <w:t>（3）对有关职工利益的重大问题进行调查研究，向县委和县政府反映职工群众的思想、愿望和要求，并提出意见和建议，参与涉及职工切身利益的有关政策、措施、制度和法律、法规草案的拟定；对侵犯职工合法权益的重大事件进行调查并提出处理意见，参与职工重大伤亡事故的调查处理。</w:t>
      </w:r>
    </w:p>
    <w:p w14:paraId="7F223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仿宋_GB2312" w:eastAsia="仿宋_GB2312" w:cs="仿宋_GB2312"/>
          <w:color w:val="000000"/>
          <w:sz w:val="31"/>
          <w:szCs w:val="31"/>
        </w:rPr>
        <w:t>（4）负责研究制定全县工会工作的组织制度和民主制度，监督检查《中国工会章程》的贯彻执行；研究指导全县各级工会自身建设和改革，加强工会组织建设；指导基层工会组织开展以职工代表大会为基本制度的民主选举、民主决策、民主管理和民主监督工作，推动建立平等协商、集体合同制度和监督保证机制的工作。</w:t>
      </w:r>
    </w:p>
    <w:p w14:paraId="2C72E6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仿宋_GB2312" w:eastAsia="仿宋_GB2312" w:cs="仿宋_GB2312"/>
          <w:color w:val="000000"/>
          <w:sz w:val="31"/>
          <w:szCs w:val="31"/>
        </w:rPr>
        <w:t>（5）动员和教育职工以主人翁态度参加社会主义经济建设，努力完成各项生产和工作任务；组织职工开展劳动竞赛、开展群众性的合理化建议、技术革新和技术协作活动；关心职工劳动生产和安全，协助做好劳动生产和安全、监督、监察劳动保护工作；接待和办理职工来信来访。</w:t>
      </w:r>
    </w:p>
    <w:p w14:paraId="7D42CC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仿宋_GB2312" w:eastAsia="仿宋_GB2312" w:cs="仿宋_GB2312"/>
          <w:color w:val="000000"/>
          <w:sz w:val="31"/>
          <w:szCs w:val="31"/>
        </w:rPr>
        <w:t>（6）协助县委、县政府做好县级劳模的推荐、评选和日常管理工作；负责全国劳动模范和省、市劳动模范的评选和管理工作。</w:t>
      </w:r>
    </w:p>
    <w:p w14:paraId="28E017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仿宋_GB2312" w:eastAsia="仿宋_GB2312" w:cs="仿宋_GB2312"/>
          <w:color w:val="000000"/>
          <w:sz w:val="31"/>
          <w:szCs w:val="31"/>
        </w:rPr>
        <w:t>（7）负责工会经费和工会资产的管理、审查、审计工作，负责工会企事业发展的指导、协调工作。</w:t>
      </w:r>
    </w:p>
    <w:p w14:paraId="622D9D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仿宋_GB2312" w:eastAsia="仿宋_GB2312" w:cs="仿宋_GB2312"/>
          <w:color w:val="000000"/>
          <w:sz w:val="31"/>
          <w:szCs w:val="31"/>
        </w:rPr>
        <w:t>（8）依法维护女职工的合法权益和特殊利益，提高女职工素质，团结、教育广大女职工在社会主义改革和建设中充分发挥重大作用。</w:t>
      </w:r>
    </w:p>
    <w:p w14:paraId="25ED23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Times New Roman" w:hAnsi="Times New Roman" w:eastAsia="仿宋_GB2312" w:cs="Times New Roman"/>
          <w:sz w:val="32"/>
          <w:szCs w:val="32"/>
        </w:rPr>
      </w:pPr>
      <w:r>
        <w:rPr>
          <w:rFonts w:hint="eastAsia" w:ascii="仿宋_GB2312" w:eastAsia="仿宋_GB2312" w:cs="仿宋_GB2312"/>
          <w:color w:val="000000"/>
          <w:sz w:val="31"/>
          <w:szCs w:val="31"/>
        </w:rPr>
        <w:t>（9）承办县委、县政府和市总工会交办的其他工作。</w:t>
      </w:r>
    </w:p>
    <w:p w14:paraId="5FA647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二、机构设置</w:t>
      </w:r>
    </w:p>
    <w:p w14:paraId="4898F3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（一）机关内设机构</w:t>
      </w:r>
    </w:p>
    <w:p w14:paraId="639CC9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仿宋_GB2312" w:eastAsia="仿宋_GB2312" w:cs="仿宋_GB2312"/>
          <w:color w:val="000000"/>
          <w:sz w:val="31"/>
          <w:szCs w:val="31"/>
        </w:rPr>
        <w:t>县总工会内设民乐县总工会经费审查委员会、民乐县总工会女职工委员会2个内设机构。</w:t>
      </w:r>
    </w:p>
    <w:p w14:paraId="76EE71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color w:val="666666"/>
          <w:sz w:val="22"/>
          <w:szCs w:val="22"/>
        </w:rPr>
      </w:pPr>
      <w:r>
        <w:rPr>
          <w:rFonts w:hint="eastAsia" w:ascii="楷体_GB2312" w:eastAsia="楷体_GB2312" w:cs="楷体_GB2312"/>
          <w:color w:val="000000"/>
          <w:sz w:val="31"/>
          <w:szCs w:val="31"/>
        </w:rPr>
        <w:t>（二）直属事业单位</w:t>
      </w:r>
    </w:p>
    <w:p w14:paraId="095CFA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0" w:firstLineChars="200"/>
        <w:jc w:val="both"/>
        <w:textAlignment w:val="auto"/>
        <w:rPr>
          <w:rFonts w:hint="eastAsia" w:ascii="仿宋_GB2312" w:eastAsia="仿宋_GB2312" w:cs="仿宋_GB2312"/>
          <w:color w:val="000000"/>
          <w:sz w:val="31"/>
          <w:szCs w:val="31"/>
        </w:rPr>
      </w:pPr>
      <w:r>
        <w:rPr>
          <w:rFonts w:hint="eastAsia" w:ascii="仿宋_GB2312" w:eastAsia="仿宋_GB2312" w:cs="仿宋_GB2312"/>
          <w:color w:val="000000"/>
          <w:sz w:val="31"/>
          <w:szCs w:val="31"/>
        </w:rPr>
        <w:t>1.直属单位1个，民乐县职工服务中心</w:t>
      </w:r>
    </w:p>
    <w:p w14:paraId="745D15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收支总体情况</w:t>
      </w:r>
    </w:p>
    <w:p w14:paraId="53ABA9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kern w:val="0"/>
          <w:sz w:val="32"/>
          <w:szCs w:val="32"/>
          <w:lang w:val="en-US" w:eastAsia="zh-CN" w:bidi="ar"/>
        </w:rPr>
        <w:t>（一）收入预算</w:t>
      </w:r>
    </w:p>
    <w:p w14:paraId="40FE19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年收入预算</w:t>
      </w:r>
      <w:r>
        <w:rPr>
          <w:rFonts w:hint="eastAsia" w:ascii="Times New Roman" w:hAnsi="Times New Roman" w:eastAsia="仿宋_GB2312" w:cs="Times New Roman"/>
          <w:color w:val="000000"/>
          <w:kern w:val="0"/>
          <w:sz w:val="32"/>
          <w:szCs w:val="32"/>
          <w:lang w:val="en-US" w:eastAsia="zh-CN" w:bidi="ar"/>
        </w:rPr>
        <w:t>648.78</w:t>
      </w:r>
      <w:r>
        <w:rPr>
          <w:rFonts w:hint="default" w:ascii="Times New Roman" w:hAnsi="Times New Roman" w:eastAsia="仿宋_GB2312" w:cs="Times New Roman"/>
          <w:color w:val="000000"/>
          <w:kern w:val="0"/>
          <w:sz w:val="32"/>
          <w:szCs w:val="32"/>
          <w:lang w:val="en-US" w:eastAsia="zh-CN" w:bidi="ar"/>
        </w:rPr>
        <w:t>万元，比202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年预算减少</w:t>
      </w:r>
      <w:r>
        <w:rPr>
          <w:rFonts w:hint="eastAsia" w:ascii="Times New Roman" w:hAnsi="Times New Roman" w:eastAsia="仿宋_GB2312" w:cs="Times New Roman"/>
          <w:color w:val="000000"/>
          <w:kern w:val="0"/>
          <w:sz w:val="32"/>
          <w:szCs w:val="32"/>
          <w:lang w:val="en-US" w:eastAsia="zh-CN" w:bidi="ar"/>
        </w:rPr>
        <w:t>191.43</w:t>
      </w:r>
      <w:r>
        <w:rPr>
          <w:rFonts w:hint="default" w:ascii="Times New Roman" w:hAnsi="Times New Roman" w:eastAsia="仿宋_GB2312" w:cs="Times New Roman"/>
          <w:color w:val="000000"/>
          <w:kern w:val="0"/>
          <w:sz w:val="32"/>
          <w:szCs w:val="32"/>
          <w:lang w:val="en-US" w:eastAsia="zh-CN" w:bidi="ar"/>
        </w:rPr>
        <w:t>万元，减少</w:t>
      </w:r>
      <w:r>
        <w:rPr>
          <w:rFonts w:hint="eastAsia" w:ascii="Times New Roman" w:hAnsi="Times New Roman" w:eastAsia="仿宋_GB2312" w:cs="Times New Roman"/>
          <w:color w:val="000000"/>
          <w:kern w:val="0"/>
          <w:sz w:val="32"/>
          <w:szCs w:val="32"/>
          <w:lang w:val="en-US" w:eastAsia="zh-CN" w:bidi="ar"/>
        </w:rPr>
        <w:t>了28.24</w:t>
      </w:r>
      <w:r>
        <w:rPr>
          <w:rFonts w:hint="default" w:ascii="Times New Roman" w:hAnsi="Times New Roman" w:eastAsia="仿宋_GB2312" w:cs="Times New Roman"/>
          <w:color w:val="000000"/>
          <w:kern w:val="0"/>
          <w:sz w:val="32"/>
          <w:szCs w:val="32"/>
          <w:lang w:val="en-US" w:eastAsia="zh-CN" w:bidi="ar"/>
        </w:rPr>
        <w:t>%，减少的主要原因是</w:t>
      </w:r>
      <w:r>
        <w:rPr>
          <w:rFonts w:hint="eastAsia" w:ascii="Times New Roman" w:hAnsi="Times New Roman" w:eastAsia="仿宋_GB2312" w:cs="Times New Roman"/>
          <w:color w:val="000000"/>
          <w:kern w:val="0"/>
          <w:sz w:val="32"/>
          <w:szCs w:val="32"/>
          <w:lang w:val="en-US" w:eastAsia="zh-CN" w:bidi="ar"/>
        </w:rPr>
        <w:t>工会经费划拨比例进行了调整，由原来基层工会40%的经费,县总工会60%的经费，比例调整为基层工会划拨60%的经费，县总工会划拨40%的经费。</w:t>
      </w:r>
      <w:r>
        <w:rPr>
          <w:rFonts w:hint="default" w:ascii="Times New Roman" w:hAnsi="Times New Roman" w:eastAsia="仿宋_GB2312" w:cs="Times New Roman"/>
          <w:color w:val="000000"/>
          <w:kern w:val="0"/>
          <w:sz w:val="32"/>
          <w:szCs w:val="32"/>
          <w:lang w:val="en-US" w:eastAsia="zh-CN" w:bidi="ar"/>
        </w:rPr>
        <w:t>包括：一般公共预算收入</w:t>
      </w:r>
      <w:r>
        <w:rPr>
          <w:rFonts w:hint="eastAsia" w:ascii="Times New Roman" w:hAnsi="Times New Roman" w:eastAsia="仿宋_GB2312" w:cs="Times New Roman"/>
          <w:color w:val="000000"/>
          <w:kern w:val="0"/>
          <w:sz w:val="32"/>
          <w:szCs w:val="32"/>
          <w:lang w:val="en-US" w:eastAsia="zh-CN" w:bidi="ar"/>
        </w:rPr>
        <w:t>185.16</w:t>
      </w:r>
      <w:r>
        <w:rPr>
          <w:rFonts w:hint="default" w:ascii="Times New Roman" w:hAnsi="Times New Roman" w:eastAsia="仿宋_GB2312" w:cs="Times New Roman"/>
          <w:color w:val="000000"/>
          <w:kern w:val="0"/>
          <w:sz w:val="32"/>
          <w:szCs w:val="32"/>
          <w:lang w:val="en-US" w:eastAsia="zh-CN" w:bidi="ar"/>
        </w:rPr>
        <w:t>万元，政府性基金预算收入</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万元，上年结转收入</w:t>
      </w:r>
      <w:r>
        <w:rPr>
          <w:rFonts w:hint="eastAsia" w:ascii="Times New Roman" w:hAnsi="Times New Roman" w:eastAsia="仿宋_GB2312" w:cs="Times New Roman"/>
          <w:color w:val="000000"/>
          <w:kern w:val="0"/>
          <w:sz w:val="32"/>
          <w:szCs w:val="32"/>
          <w:lang w:val="en-US" w:eastAsia="zh-CN" w:bidi="ar"/>
        </w:rPr>
        <w:t>3.21</w:t>
      </w:r>
      <w:r>
        <w:rPr>
          <w:rFonts w:hint="default" w:ascii="Times New Roman" w:hAnsi="Times New Roman" w:eastAsia="仿宋_GB2312" w:cs="Times New Roman"/>
          <w:color w:val="000000"/>
          <w:kern w:val="0"/>
          <w:sz w:val="32"/>
          <w:szCs w:val="32"/>
          <w:lang w:val="en-US" w:eastAsia="zh-CN" w:bidi="ar"/>
        </w:rPr>
        <w:t>万元，其他收入</w:t>
      </w:r>
      <w:r>
        <w:rPr>
          <w:rFonts w:hint="eastAsia" w:ascii="Times New Roman" w:hAnsi="Times New Roman" w:eastAsia="仿宋_GB2312" w:cs="Times New Roman"/>
          <w:color w:val="000000"/>
          <w:kern w:val="0"/>
          <w:sz w:val="32"/>
          <w:szCs w:val="32"/>
          <w:lang w:val="en-US" w:eastAsia="zh-CN" w:bidi="ar"/>
        </w:rPr>
        <w:t>460.41</w:t>
      </w:r>
      <w:r>
        <w:rPr>
          <w:rFonts w:hint="default" w:ascii="Times New Roman" w:hAnsi="Times New Roman" w:eastAsia="仿宋_GB2312" w:cs="Times New Roman"/>
          <w:color w:val="000000"/>
          <w:kern w:val="0"/>
          <w:sz w:val="32"/>
          <w:szCs w:val="32"/>
          <w:lang w:val="en-US" w:eastAsia="zh-CN" w:bidi="ar"/>
        </w:rPr>
        <w:t>万元。</w:t>
      </w:r>
    </w:p>
    <w:p w14:paraId="5F8110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kern w:val="0"/>
          <w:sz w:val="32"/>
          <w:szCs w:val="32"/>
          <w:lang w:val="en-US" w:eastAsia="zh-CN" w:bidi="ar"/>
        </w:rPr>
        <w:t>（二）支出预算</w:t>
      </w:r>
    </w:p>
    <w:p w14:paraId="51936E2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年支出预算</w:t>
      </w:r>
      <w:r>
        <w:rPr>
          <w:rFonts w:hint="eastAsia" w:ascii="Times New Roman" w:hAnsi="Times New Roman" w:eastAsia="仿宋_GB2312" w:cs="Times New Roman"/>
          <w:color w:val="000000"/>
          <w:kern w:val="0"/>
          <w:sz w:val="32"/>
          <w:szCs w:val="32"/>
          <w:lang w:val="en-US" w:eastAsia="zh-CN" w:bidi="ar"/>
        </w:rPr>
        <w:t>648.78</w:t>
      </w:r>
      <w:r>
        <w:rPr>
          <w:rFonts w:hint="default" w:ascii="Times New Roman" w:hAnsi="Times New Roman" w:eastAsia="仿宋_GB2312" w:cs="Times New Roman"/>
          <w:color w:val="000000"/>
          <w:kern w:val="0"/>
          <w:sz w:val="32"/>
          <w:szCs w:val="32"/>
          <w:lang w:val="en-US" w:eastAsia="zh-CN" w:bidi="ar"/>
        </w:rPr>
        <w:t>万元。其中，当年财政拨款</w:t>
      </w:r>
      <w:r>
        <w:rPr>
          <w:rFonts w:hint="eastAsia" w:ascii="Times New Roman" w:hAnsi="Times New Roman" w:eastAsia="仿宋_GB2312" w:cs="Times New Roman"/>
          <w:color w:val="000000"/>
          <w:kern w:val="0"/>
          <w:sz w:val="32"/>
          <w:szCs w:val="32"/>
          <w:lang w:val="en-US" w:eastAsia="zh-CN" w:bidi="ar"/>
        </w:rPr>
        <w:t>648.78</w:t>
      </w:r>
      <w:r>
        <w:rPr>
          <w:rFonts w:hint="default" w:ascii="Times New Roman" w:hAnsi="Times New Roman" w:eastAsia="仿宋_GB2312" w:cs="Times New Roman"/>
          <w:color w:val="000000"/>
          <w:kern w:val="0"/>
          <w:sz w:val="32"/>
          <w:szCs w:val="32"/>
          <w:lang w:val="en-US" w:eastAsia="zh-CN" w:bidi="ar"/>
        </w:rPr>
        <w:t>万元，比202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年预算（减少）</w:t>
      </w:r>
      <w:r>
        <w:rPr>
          <w:rFonts w:hint="eastAsia" w:ascii="Times New Roman" w:hAnsi="Times New Roman" w:eastAsia="仿宋_GB2312" w:cs="Times New Roman"/>
          <w:color w:val="000000"/>
          <w:kern w:val="0"/>
          <w:sz w:val="32"/>
          <w:szCs w:val="32"/>
          <w:lang w:val="en-US" w:eastAsia="zh-CN" w:bidi="ar"/>
        </w:rPr>
        <w:t>191.43</w:t>
      </w:r>
      <w:r>
        <w:rPr>
          <w:rFonts w:hint="default" w:ascii="Times New Roman" w:hAnsi="Times New Roman" w:eastAsia="仿宋_GB2312" w:cs="Times New Roman"/>
          <w:color w:val="000000"/>
          <w:kern w:val="0"/>
          <w:sz w:val="32"/>
          <w:szCs w:val="32"/>
          <w:lang w:val="en-US" w:eastAsia="zh-CN" w:bidi="ar"/>
        </w:rPr>
        <w:t>万元，下降</w:t>
      </w:r>
      <w:r>
        <w:rPr>
          <w:rFonts w:hint="eastAsia" w:ascii="Times New Roman" w:hAnsi="Times New Roman" w:eastAsia="仿宋_GB2312" w:cs="Times New Roman"/>
          <w:color w:val="000000"/>
          <w:kern w:val="0"/>
          <w:sz w:val="32"/>
          <w:szCs w:val="32"/>
          <w:lang w:val="en-US" w:eastAsia="zh-CN" w:bidi="ar"/>
        </w:rPr>
        <w:t>28.24</w:t>
      </w:r>
      <w:r>
        <w:rPr>
          <w:rFonts w:hint="default" w:ascii="Times New Roman" w:hAnsi="Times New Roman" w:eastAsia="仿宋_GB2312" w:cs="Times New Roman"/>
          <w:color w:val="000000"/>
          <w:kern w:val="0"/>
          <w:sz w:val="32"/>
          <w:szCs w:val="32"/>
          <w:lang w:val="en-US" w:eastAsia="zh-CN" w:bidi="ar"/>
        </w:rPr>
        <w:t>%，下降的主要原因是</w:t>
      </w:r>
      <w:r>
        <w:rPr>
          <w:rFonts w:hint="eastAsia" w:ascii="Times New Roman" w:hAnsi="Times New Roman" w:eastAsia="仿宋_GB2312" w:cs="Times New Roman"/>
          <w:color w:val="000000"/>
          <w:kern w:val="0"/>
          <w:sz w:val="32"/>
          <w:szCs w:val="32"/>
          <w:lang w:val="en-US" w:eastAsia="zh-CN" w:bidi="ar"/>
        </w:rPr>
        <w:t>工会经费划拨比例进行了调整，由原来基层工会40%的经费,县总工会60%的经费，比例调整为基层工会划拨60%的经费，县总工会划拨40%的经费</w:t>
      </w:r>
      <w:r>
        <w:rPr>
          <w:rFonts w:hint="default" w:ascii="Times New Roman" w:hAnsi="Times New Roman" w:eastAsia="仿宋_GB2312" w:cs="Times New Roman"/>
          <w:color w:val="000000"/>
          <w:kern w:val="0"/>
          <w:sz w:val="32"/>
          <w:szCs w:val="32"/>
          <w:lang w:val="en-US" w:eastAsia="zh-CN" w:bidi="ar"/>
        </w:rPr>
        <w:t>，主要是：</w:t>
      </w:r>
    </w:p>
    <w:p w14:paraId="511F8BD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1.一般公共服务支出</w:t>
      </w:r>
      <w:r>
        <w:rPr>
          <w:rFonts w:hint="eastAsia" w:ascii="Times New Roman" w:hAnsi="Times New Roman" w:eastAsia="仿宋_GB2312" w:cs="Times New Roman"/>
          <w:color w:val="000000"/>
          <w:kern w:val="0"/>
          <w:sz w:val="32"/>
          <w:szCs w:val="32"/>
          <w:lang w:val="en-US" w:eastAsia="zh-CN" w:bidi="ar"/>
        </w:rPr>
        <w:t>188.37</w:t>
      </w:r>
      <w:r>
        <w:rPr>
          <w:rFonts w:hint="default" w:ascii="Times New Roman" w:hAnsi="Times New Roman" w:eastAsia="仿宋_GB2312" w:cs="Times New Roman"/>
          <w:color w:val="000000"/>
          <w:kern w:val="0"/>
          <w:sz w:val="32"/>
          <w:szCs w:val="32"/>
          <w:lang w:val="en-US" w:eastAsia="zh-CN" w:bidi="ar"/>
        </w:rPr>
        <w:t>万元；</w:t>
      </w:r>
    </w:p>
    <w:p w14:paraId="0240C9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2.教育支出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7A1EA35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3.科学技术支出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1D2AC60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4.文化旅游体育与传媒支出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462D3B1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5.社会保障和就业支出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6ED7DEE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6.卫生健康支出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03B355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7.节能环保支出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6DD43E2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8.资源勘探工业信息等支出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1F1545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9.住房保障支出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5354802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10.粮油物资储备支出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539DC9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11.其他支出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1EAC343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12.转移性支出</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w:t>
      </w:r>
    </w:p>
    <w:p w14:paraId="0B5DE19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kern w:val="0"/>
          <w:sz w:val="32"/>
          <w:szCs w:val="32"/>
          <w:lang w:val="en-US" w:eastAsia="zh-CN" w:bidi="ar"/>
        </w:rPr>
        <w:t xml:space="preserve">四、一般公共预算情况 </w:t>
      </w:r>
    </w:p>
    <w:p w14:paraId="3A75235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年一般公共预算支出</w:t>
      </w:r>
      <w:r>
        <w:rPr>
          <w:rFonts w:hint="eastAsia" w:ascii="Times New Roman" w:hAnsi="Times New Roman" w:eastAsia="仿宋_GB2312" w:cs="Times New Roman"/>
          <w:color w:val="000000"/>
          <w:kern w:val="0"/>
          <w:sz w:val="32"/>
          <w:szCs w:val="32"/>
          <w:lang w:val="en-US" w:eastAsia="zh-CN" w:bidi="ar"/>
        </w:rPr>
        <w:t>188.37</w:t>
      </w:r>
      <w:r>
        <w:rPr>
          <w:rFonts w:hint="default" w:ascii="Times New Roman" w:hAnsi="Times New Roman" w:eastAsia="仿宋_GB2312" w:cs="Times New Roman"/>
          <w:color w:val="000000"/>
          <w:kern w:val="0"/>
          <w:sz w:val="32"/>
          <w:szCs w:val="32"/>
          <w:lang w:val="en-US" w:eastAsia="zh-CN" w:bidi="ar"/>
        </w:rPr>
        <w:t>万元具体安排情况如下：</w:t>
      </w:r>
    </w:p>
    <w:p w14:paraId="29052B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kern w:val="0"/>
          <w:sz w:val="32"/>
          <w:szCs w:val="32"/>
          <w:lang w:val="en-US" w:eastAsia="zh-CN" w:bidi="ar"/>
        </w:rPr>
        <w:t>（一）基本支出</w:t>
      </w:r>
    </w:p>
    <w:p w14:paraId="3A84CB02">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年基本支出</w:t>
      </w:r>
      <w:r>
        <w:rPr>
          <w:rFonts w:hint="eastAsia" w:ascii="Times New Roman" w:hAnsi="Times New Roman" w:eastAsia="仿宋_GB2312" w:cs="Times New Roman"/>
          <w:color w:val="000000"/>
          <w:kern w:val="0"/>
          <w:sz w:val="32"/>
          <w:szCs w:val="32"/>
          <w:lang w:val="en-US" w:eastAsia="zh-CN" w:bidi="ar"/>
        </w:rPr>
        <w:t>188.37</w:t>
      </w:r>
      <w:r>
        <w:rPr>
          <w:rFonts w:hint="default" w:ascii="Times New Roman" w:hAnsi="Times New Roman" w:eastAsia="仿宋_GB2312" w:cs="Times New Roman"/>
          <w:color w:val="000000"/>
          <w:kern w:val="0"/>
          <w:sz w:val="32"/>
          <w:szCs w:val="32"/>
          <w:lang w:val="en-US" w:eastAsia="zh-CN" w:bidi="ar"/>
        </w:rPr>
        <w:t>万元，比202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年预算减少</w:t>
      </w:r>
      <w:r>
        <w:rPr>
          <w:rFonts w:hint="eastAsia" w:ascii="Times New Roman" w:hAnsi="Times New Roman" w:eastAsia="仿宋_GB2312" w:cs="Times New Roman"/>
          <w:color w:val="000000"/>
          <w:kern w:val="0"/>
          <w:sz w:val="32"/>
          <w:szCs w:val="32"/>
          <w:lang w:val="en-US" w:eastAsia="zh-CN" w:bidi="ar"/>
        </w:rPr>
        <w:t>63.94</w:t>
      </w:r>
      <w:r>
        <w:rPr>
          <w:rFonts w:hint="default" w:ascii="Times New Roman" w:hAnsi="Times New Roman" w:eastAsia="仿宋_GB2312" w:cs="Times New Roman"/>
          <w:color w:val="000000"/>
          <w:kern w:val="0"/>
          <w:sz w:val="32"/>
          <w:szCs w:val="32"/>
          <w:lang w:val="en-US" w:eastAsia="zh-CN" w:bidi="ar"/>
        </w:rPr>
        <w:t>万元，下降</w:t>
      </w:r>
      <w:r>
        <w:rPr>
          <w:rFonts w:hint="eastAsia" w:ascii="Times New Roman" w:hAnsi="Times New Roman" w:eastAsia="仿宋_GB2312" w:cs="Times New Roman"/>
          <w:color w:val="000000"/>
          <w:kern w:val="0"/>
          <w:sz w:val="32"/>
          <w:szCs w:val="32"/>
          <w:lang w:val="en-US" w:eastAsia="zh-CN" w:bidi="ar"/>
        </w:rPr>
        <w:t>25.34</w:t>
      </w:r>
      <w:r>
        <w:rPr>
          <w:rFonts w:hint="default" w:ascii="Times New Roman" w:hAnsi="Times New Roman" w:eastAsia="仿宋_GB2312" w:cs="Times New Roman"/>
          <w:color w:val="000000"/>
          <w:kern w:val="0"/>
          <w:sz w:val="32"/>
          <w:szCs w:val="32"/>
          <w:lang w:val="en-US" w:eastAsia="zh-CN" w:bidi="ar"/>
        </w:rPr>
        <w:t>%，下降的主要原因是</w:t>
      </w:r>
      <w:r>
        <w:rPr>
          <w:rFonts w:hint="eastAsia" w:ascii="Times New Roman" w:hAnsi="Times New Roman" w:eastAsia="仿宋_GB2312" w:cs="Times New Roman"/>
          <w:color w:val="000000"/>
          <w:kern w:val="0"/>
          <w:sz w:val="32"/>
          <w:szCs w:val="32"/>
          <w:lang w:val="en-US" w:eastAsia="zh-CN" w:bidi="ar"/>
        </w:rPr>
        <w:t>2025年有两名退休人员，人员工资、社保同比例下降。</w:t>
      </w:r>
    </w:p>
    <w:p w14:paraId="431BCB5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kern w:val="0"/>
          <w:sz w:val="32"/>
          <w:szCs w:val="32"/>
          <w:lang w:val="en-US" w:eastAsia="zh-CN" w:bidi="ar"/>
        </w:rPr>
        <w:t>（二）项目支出</w:t>
      </w:r>
    </w:p>
    <w:p w14:paraId="5F60DA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年一般公共预算财政拨款项目支出预算</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万元，比202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年预算增加（减少）</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万元，增长（减少）</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%，增长（减少）的主要原因是</w:t>
      </w:r>
      <w:r>
        <w:rPr>
          <w:rFonts w:hint="eastAsia" w:ascii="Times New Roman" w:hAnsi="Times New Roman" w:eastAsia="仿宋_GB2312" w:cs="Times New Roman"/>
          <w:color w:val="000000"/>
          <w:kern w:val="0"/>
          <w:sz w:val="32"/>
          <w:szCs w:val="32"/>
          <w:lang w:val="en-US" w:eastAsia="zh-CN" w:bidi="ar"/>
        </w:rPr>
        <w:t>本单位没有项目支出。</w:t>
      </w:r>
    </w:p>
    <w:p w14:paraId="65A2AA3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经济社会发展项目</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个，主要是项目</w:t>
      </w:r>
      <w:r>
        <w:rPr>
          <w:rFonts w:hint="eastAsia" w:ascii="Times New Roman" w:hAnsi="Times New Roman" w:eastAsia="仿宋_GB2312" w:cs="Times New Roman"/>
          <w:color w:val="000000"/>
          <w:kern w:val="0"/>
          <w:sz w:val="32"/>
          <w:szCs w:val="32"/>
          <w:lang w:val="en-US" w:eastAsia="zh-CN" w:bidi="ar"/>
        </w:rPr>
        <w:t>无</w:t>
      </w:r>
      <w:r>
        <w:rPr>
          <w:rFonts w:hint="default" w:ascii="Times New Roman" w:hAnsi="Times New Roman" w:eastAsia="仿宋_GB2312" w:cs="Times New Roman"/>
          <w:color w:val="000000"/>
          <w:kern w:val="0"/>
          <w:sz w:val="32"/>
          <w:szCs w:val="32"/>
          <w:lang w:val="en-US" w:eastAsia="zh-CN" w:bidi="ar"/>
        </w:rPr>
        <w:t xml:space="preserve">。 </w:t>
      </w:r>
    </w:p>
    <w:p w14:paraId="4D145A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保障运转经费项目</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个，主要是项目</w:t>
      </w:r>
      <w:r>
        <w:rPr>
          <w:rFonts w:hint="eastAsia" w:ascii="Times New Roman" w:hAnsi="Times New Roman" w:eastAsia="仿宋_GB2312" w:cs="Times New Roman"/>
          <w:color w:val="000000"/>
          <w:kern w:val="0"/>
          <w:sz w:val="32"/>
          <w:szCs w:val="32"/>
          <w:lang w:val="en-US" w:eastAsia="zh-CN" w:bidi="ar"/>
        </w:rPr>
        <w:t>无</w:t>
      </w:r>
      <w:r>
        <w:rPr>
          <w:rFonts w:hint="default" w:ascii="Times New Roman" w:hAnsi="Times New Roman" w:eastAsia="仿宋_GB2312" w:cs="Times New Roman"/>
          <w:color w:val="000000"/>
          <w:kern w:val="0"/>
          <w:sz w:val="32"/>
          <w:szCs w:val="32"/>
          <w:lang w:val="en-US" w:eastAsia="zh-CN" w:bidi="ar"/>
        </w:rPr>
        <w:t xml:space="preserve">。 </w:t>
      </w:r>
    </w:p>
    <w:p w14:paraId="1A1D73E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其他项目</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个，主要是项目</w:t>
      </w:r>
      <w:r>
        <w:rPr>
          <w:rFonts w:hint="eastAsia" w:ascii="Times New Roman" w:hAnsi="Times New Roman" w:eastAsia="仿宋_GB2312" w:cs="Times New Roman"/>
          <w:color w:val="000000"/>
          <w:kern w:val="0"/>
          <w:sz w:val="32"/>
          <w:szCs w:val="32"/>
          <w:lang w:val="en-US" w:eastAsia="zh-CN" w:bidi="ar"/>
        </w:rPr>
        <w:t>无</w:t>
      </w:r>
      <w:r>
        <w:rPr>
          <w:rFonts w:hint="default" w:ascii="Times New Roman" w:hAnsi="Times New Roman" w:eastAsia="仿宋_GB2312" w:cs="Times New Roman"/>
          <w:color w:val="000000"/>
          <w:kern w:val="0"/>
          <w:sz w:val="32"/>
          <w:szCs w:val="32"/>
          <w:lang w:val="en-US" w:eastAsia="zh-CN" w:bidi="ar"/>
        </w:rPr>
        <w:t xml:space="preserve">。 </w:t>
      </w:r>
    </w:p>
    <w:p w14:paraId="0D35A07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kern w:val="0"/>
          <w:sz w:val="32"/>
          <w:szCs w:val="32"/>
          <w:lang w:val="en-US" w:eastAsia="zh-CN" w:bidi="ar"/>
        </w:rPr>
        <w:t>五、部门（单位）“三公”经费、培训费、会议费等财政拨款情况</w:t>
      </w:r>
    </w:p>
    <w:p w14:paraId="3016F59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1.因公出国（境）费用</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万元，比202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年预算增加（减少） 万元，增长（下降）</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%，增长（下降）的主要原因是</w:t>
      </w:r>
      <w:r>
        <w:rPr>
          <w:rFonts w:hint="eastAsia" w:ascii="Times New Roman" w:hAnsi="Times New Roman" w:eastAsia="仿宋_GB2312" w:cs="Times New Roman"/>
          <w:color w:val="000000"/>
          <w:kern w:val="0"/>
          <w:sz w:val="32"/>
          <w:szCs w:val="32"/>
          <w:lang w:val="en-US" w:eastAsia="zh-CN" w:bidi="ar"/>
        </w:rPr>
        <w:t>无</w:t>
      </w:r>
      <w:r>
        <w:rPr>
          <w:rFonts w:hint="default" w:ascii="Times New Roman" w:hAnsi="Times New Roman" w:eastAsia="仿宋_GB2312" w:cs="Times New Roman"/>
          <w:color w:val="000000"/>
          <w:kern w:val="0"/>
          <w:sz w:val="32"/>
          <w:szCs w:val="32"/>
          <w:lang w:val="en-US" w:eastAsia="zh-CN" w:bidi="ar"/>
        </w:rPr>
        <w:t xml:space="preserve">。 </w:t>
      </w:r>
    </w:p>
    <w:p w14:paraId="03A915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2.公务接待费</w:t>
      </w:r>
      <w:r>
        <w:rPr>
          <w:rFonts w:hint="eastAsia" w:ascii="Times New Roman" w:hAnsi="Times New Roman" w:eastAsia="仿宋_GB2312" w:cs="Times New Roman"/>
          <w:color w:val="000000"/>
          <w:kern w:val="0"/>
          <w:sz w:val="32"/>
          <w:szCs w:val="32"/>
          <w:lang w:val="en-US" w:eastAsia="zh-CN" w:bidi="ar"/>
        </w:rPr>
        <w:t>0.5</w:t>
      </w:r>
      <w:r>
        <w:rPr>
          <w:rFonts w:hint="default" w:ascii="Times New Roman" w:hAnsi="Times New Roman" w:eastAsia="仿宋_GB2312" w:cs="Times New Roman"/>
          <w:color w:val="000000"/>
          <w:kern w:val="0"/>
          <w:sz w:val="32"/>
          <w:szCs w:val="32"/>
          <w:lang w:val="en-US" w:eastAsia="zh-CN" w:bidi="ar"/>
        </w:rPr>
        <w:t>万元，比202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年预算</w:t>
      </w:r>
      <w:r>
        <w:rPr>
          <w:rFonts w:hint="eastAsia" w:ascii="Times New Roman" w:hAnsi="Times New Roman" w:eastAsia="仿宋_GB2312" w:cs="Times New Roman"/>
          <w:color w:val="000000"/>
          <w:kern w:val="0"/>
          <w:sz w:val="32"/>
          <w:szCs w:val="32"/>
          <w:lang w:val="en-US" w:eastAsia="zh-CN" w:bidi="ar"/>
        </w:rPr>
        <w:t>0.5</w:t>
      </w:r>
      <w:r>
        <w:rPr>
          <w:rFonts w:hint="default" w:ascii="Times New Roman" w:hAnsi="Times New Roman" w:eastAsia="仿宋_GB2312" w:cs="Times New Roman"/>
          <w:color w:val="000000"/>
          <w:kern w:val="0"/>
          <w:sz w:val="32"/>
          <w:szCs w:val="32"/>
          <w:lang w:val="en-US" w:eastAsia="zh-CN" w:bidi="ar"/>
        </w:rPr>
        <w:t>万元</w:t>
      </w:r>
      <w:r>
        <w:rPr>
          <w:rFonts w:hint="eastAsia" w:ascii="Times New Roman" w:hAnsi="Times New Roman" w:eastAsia="仿宋_GB2312" w:cs="Times New Roman"/>
          <w:color w:val="000000"/>
          <w:kern w:val="0"/>
          <w:sz w:val="32"/>
          <w:szCs w:val="32"/>
          <w:lang w:val="en-US" w:eastAsia="zh-CN" w:bidi="ar"/>
        </w:rPr>
        <w:t>不变</w:t>
      </w:r>
      <w:r>
        <w:rPr>
          <w:rFonts w:hint="default" w:ascii="Times New Roman" w:hAnsi="Times New Roman" w:eastAsia="仿宋_GB2312" w:cs="Times New Roman"/>
          <w:color w:val="000000"/>
          <w:kern w:val="0"/>
          <w:sz w:val="32"/>
          <w:szCs w:val="32"/>
          <w:lang w:val="en-US" w:eastAsia="zh-CN" w:bidi="ar"/>
        </w:rPr>
        <w:t>，主要原因是</w:t>
      </w:r>
      <w:r>
        <w:rPr>
          <w:rFonts w:hint="eastAsia" w:ascii="Times New Roman" w:hAnsi="Times New Roman" w:eastAsia="仿宋_GB2312" w:cs="Times New Roman"/>
          <w:color w:val="000000"/>
          <w:kern w:val="0"/>
          <w:sz w:val="32"/>
          <w:szCs w:val="32"/>
          <w:lang w:val="en-US" w:eastAsia="zh-CN" w:bidi="ar"/>
        </w:rPr>
        <w:t>公务接待费用保持不变</w:t>
      </w:r>
      <w:r>
        <w:rPr>
          <w:rFonts w:hint="default" w:ascii="Times New Roman" w:hAnsi="Times New Roman" w:eastAsia="仿宋_GB2312" w:cs="Times New Roman"/>
          <w:color w:val="000000"/>
          <w:kern w:val="0"/>
          <w:sz w:val="32"/>
          <w:szCs w:val="32"/>
          <w:lang w:val="en-US" w:eastAsia="zh-CN" w:bidi="ar"/>
        </w:rPr>
        <w:t xml:space="preserve">。 </w:t>
      </w:r>
    </w:p>
    <w:p w14:paraId="4B59FE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3.公务用车购置及运行维护费</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万元（其中：公务用车购置 万元，公务用车运行维护费</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万元），比202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年预算增加（减少）</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万元，增长（下降</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%，增长（下降）的主要原因是</w:t>
      </w:r>
      <w:r>
        <w:rPr>
          <w:rFonts w:hint="eastAsia" w:ascii="Times New Roman" w:hAnsi="Times New Roman" w:eastAsia="仿宋_GB2312" w:cs="Times New Roman"/>
          <w:color w:val="000000"/>
          <w:kern w:val="0"/>
          <w:sz w:val="32"/>
          <w:szCs w:val="32"/>
          <w:lang w:val="en-US" w:eastAsia="zh-CN" w:bidi="ar"/>
        </w:rPr>
        <w:t>无</w:t>
      </w:r>
      <w:r>
        <w:rPr>
          <w:rFonts w:hint="default" w:ascii="Times New Roman" w:hAnsi="Times New Roman" w:eastAsia="仿宋_GB2312" w:cs="Times New Roman"/>
          <w:color w:val="000000"/>
          <w:kern w:val="0"/>
          <w:sz w:val="32"/>
          <w:szCs w:val="32"/>
          <w:lang w:val="en-US" w:eastAsia="zh-CN" w:bidi="ar"/>
        </w:rPr>
        <w:t xml:space="preserve">。 </w:t>
      </w:r>
    </w:p>
    <w:p w14:paraId="18A61B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4.培训费</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万元，比202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年预算增加（减少）</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万元，增长（下降）</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%，增长（下降）的主要原因</w:t>
      </w:r>
      <w:r>
        <w:rPr>
          <w:rFonts w:hint="eastAsia" w:ascii="Times New Roman" w:hAnsi="Times New Roman" w:eastAsia="仿宋_GB2312" w:cs="Times New Roman"/>
          <w:color w:val="000000"/>
          <w:kern w:val="0"/>
          <w:sz w:val="32"/>
          <w:szCs w:val="32"/>
          <w:lang w:val="en-US" w:eastAsia="zh-CN" w:bidi="ar"/>
        </w:rPr>
        <w:t>无</w:t>
      </w:r>
      <w:r>
        <w:rPr>
          <w:rFonts w:hint="default" w:ascii="Times New Roman" w:hAnsi="Times New Roman" w:eastAsia="仿宋_GB2312" w:cs="Times New Roman"/>
          <w:color w:val="000000"/>
          <w:kern w:val="0"/>
          <w:sz w:val="32"/>
          <w:szCs w:val="32"/>
          <w:lang w:val="en-US" w:eastAsia="zh-CN" w:bidi="ar"/>
        </w:rPr>
        <w:t xml:space="preserve">。 </w:t>
      </w:r>
    </w:p>
    <w:p w14:paraId="6C3B4103">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5.会议费</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万元，比202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年预算增加（减少）</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万元，增长（下降）</w:t>
      </w:r>
      <w:r>
        <w:rPr>
          <w:rFonts w:hint="eastAsia"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val="en-US" w:eastAsia="zh-CN" w:bidi="ar"/>
        </w:rPr>
        <w:t>%，增长（下降）的主要原因是</w:t>
      </w:r>
      <w:r>
        <w:rPr>
          <w:rFonts w:hint="eastAsia" w:ascii="Times New Roman" w:hAnsi="Times New Roman" w:eastAsia="仿宋_GB2312" w:cs="Times New Roman"/>
          <w:color w:val="000000"/>
          <w:kern w:val="0"/>
          <w:sz w:val="32"/>
          <w:szCs w:val="32"/>
          <w:lang w:val="en-US" w:eastAsia="zh-CN" w:bidi="ar"/>
        </w:rPr>
        <w:t>无</w:t>
      </w:r>
      <w:r>
        <w:rPr>
          <w:rFonts w:hint="default" w:ascii="Times New Roman" w:hAnsi="Times New Roman" w:eastAsia="仿宋_GB2312" w:cs="Times New Roman"/>
          <w:color w:val="000000"/>
          <w:kern w:val="0"/>
          <w:sz w:val="32"/>
          <w:szCs w:val="32"/>
          <w:lang w:val="en-US" w:eastAsia="zh-CN" w:bidi="ar"/>
        </w:rPr>
        <w:t xml:space="preserve">。 </w:t>
      </w:r>
    </w:p>
    <w:p w14:paraId="443050DA">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16" w:firstLineChars="200"/>
        <w:jc w:val="left"/>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kern w:val="0"/>
          <w:sz w:val="32"/>
          <w:szCs w:val="32"/>
          <w:lang w:val="en-US" w:eastAsia="zh-CN" w:bidi="ar"/>
        </w:rPr>
        <w:t>“三公”经费预算</w:t>
      </w:r>
      <w:r>
        <w:rPr>
          <w:rFonts w:hint="eastAsia" w:ascii="Times New Roman" w:hAnsi="Times New Roman" w:eastAsia="仿宋_GB2312" w:cs="Times New Roman"/>
          <w:color w:val="000000"/>
          <w:spacing w:val="-6"/>
          <w:kern w:val="0"/>
          <w:sz w:val="32"/>
          <w:szCs w:val="32"/>
          <w:lang w:val="en-US" w:eastAsia="zh-CN" w:bidi="ar"/>
        </w:rPr>
        <w:t>0.5</w:t>
      </w:r>
      <w:r>
        <w:rPr>
          <w:rFonts w:hint="default" w:ascii="Times New Roman" w:hAnsi="Times New Roman" w:eastAsia="仿宋_GB2312" w:cs="Times New Roman"/>
          <w:color w:val="000000"/>
          <w:spacing w:val="-6"/>
          <w:kern w:val="0"/>
          <w:sz w:val="32"/>
          <w:szCs w:val="32"/>
          <w:lang w:val="en-US" w:eastAsia="zh-CN" w:bidi="ar"/>
        </w:rPr>
        <w:t>万元，比202</w:t>
      </w:r>
      <w:r>
        <w:rPr>
          <w:rFonts w:hint="eastAsia" w:ascii="Times New Roman" w:hAnsi="Times New Roman" w:eastAsia="仿宋_GB2312" w:cs="Times New Roman"/>
          <w:color w:val="000000"/>
          <w:spacing w:val="-6"/>
          <w:kern w:val="0"/>
          <w:sz w:val="32"/>
          <w:szCs w:val="32"/>
          <w:lang w:val="en-US" w:eastAsia="zh-CN" w:bidi="ar"/>
        </w:rPr>
        <w:t>5</w:t>
      </w:r>
      <w:r>
        <w:rPr>
          <w:rFonts w:hint="default" w:ascii="Times New Roman" w:hAnsi="Times New Roman" w:eastAsia="仿宋_GB2312" w:cs="Times New Roman"/>
          <w:color w:val="000000"/>
          <w:spacing w:val="-6"/>
          <w:kern w:val="0"/>
          <w:sz w:val="32"/>
          <w:szCs w:val="32"/>
          <w:lang w:val="en-US" w:eastAsia="zh-CN" w:bidi="ar"/>
        </w:rPr>
        <w:t>年预算</w:t>
      </w:r>
      <w:r>
        <w:rPr>
          <w:rFonts w:hint="eastAsia" w:ascii="Times New Roman" w:hAnsi="Times New Roman" w:eastAsia="仿宋_GB2312" w:cs="Times New Roman"/>
          <w:color w:val="000000"/>
          <w:spacing w:val="-6"/>
          <w:kern w:val="0"/>
          <w:sz w:val="32"/>
          <w:szCs w:val="32"/>
          <w:lang w:val="en-US" w:eastAsia="zh-CN" w:bidi="ar"/>
        </w:rPr>
        <w:t>0.5</w:t>
      </w:r>
      <w:r>
        <w:rPr>
          <w:rFonts w:hint="default" w:ascii="Times New Roman" w:hAnsi="Times New Roman" w:eastAsia="仿宋_GB2312" w:cs="Times New Roman"/>
          <w:color w:val="000000"/>
          <w:spacing w:val="-6"/>
          <w:kern w:val="0"/>
          <w:sz w:val="32"/>
          <w:szCs w:val="32"/>
          <w:lang w:val="en-US" w:eastAsia="zh-CN" w:bidi="ar"/>
        </w:rPr>
        <w:t>万元</w:t>
      </w:r>
      <w:r>
        <w:rPr>
          <w:rFonts w:hint="eastAsia" w:ascii="Times New Roman" w:hAnsi="Times New Roman" w:eastAsia="仿宋_GB2312" w:cs="Times New Roman"/>
          <w:color w:val="000000"/>
          <w:spacing w:val="-6"/>
          <w:kern w:val="0"/>
          <w:sz w:val="32"/>
          <w:szCs w:val="32"/>
          <w:lang w:val="en-US" w:eastAsia="zh-CN" w:bidi="ar"/>
        </w:rPr>
        <w:t>保持不变</w:t>
      </w:r>
      <w:r>
        <w:rPr>
          <w:rFonts w:hint="default" w:ascii="Times New Roman" w:hAnsi="Times New Roman" w:eastAsia="仿宋_GB2312" w:cs="Times New Roman"/>
          <w:color w:val="000000"/>
          <w:spacing w:val="-6"/>
          <w:kern w:val="0"/>
          <w:sz w:val="32"/>
          <w:szCs w:val="32"/>
          <w:lang w:val="en-US" w:eastAsia="zh-CN" w:bidi="ar"/>
        </w:rPr>
        <w:t>。</w:t>
      </w:r>
    </w:p>
    <w:p w14:paraId="325258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六、机关运行经费财政拨款情况</w:t>
      </w:r>
    </w:p>
    <w:p w14:paraId="7D993C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机关运行经费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万元，比202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年预算增加（减少）</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万元，增长（下降）</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%，增长（下降）的主要原因是</w:t>
      </w:r>
      <w:r>
        <w:rPr>
          <w:rFonts w:hint="eastAsia"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lang w:eastAsia="zh-CN"/>
        </w:rPr>
        <w:t>。</w:t>
      </w:r>
    </w:p>
    <w:p w14:paraId="5DB8B8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七、政府采购安排情况</w:t>
      </w:r>
    </w:p>
    <w:p w14:paraId="76FE7F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年政府采购预算总额</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eastAsia="zh-CN"/>
        </w:rPr>
        <w:t>万元，其中：政府采购货物预算</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万元，政府采购工程预算</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万元，政府采购服务预算</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万元。</w:t>
      </w:r>
    </w:p>
    <w:p w14:paraId="5070CF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八、国有资产占用情况</w:t>
      </w:r>
    </w:p>
    <w:p w14:paraId="636834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上年末固定资产金额为</w:t>
      </w:r>
      <w:r>
        <w:rPr>
          <w:rFonts w:hint="eastAsia" w:ascii="Times New Roman" w:hAnsi="Times New Roman" w:eastAsia="仿宋_GB2312" w:cs="Times New Roman"/>
          <w:sz w:val="32"/>
          <w:szCs w:val="32"/>
          <w:lang w:val="en-US" w:eastAsia="zh-CN"/>
        </w:rPr>
        <w:t>205.70</w:t>
      </w:r>
      <w:r>
        <w:rPr>
          <w:rFonts w:hint="default" w:ascii="Times New Roman" w:hAnsi="Times New Roman" w:eastAsia="仿宋_GB2312" w:cs="Times New Roman"/>
          <w:sz w:val="32"/>
          <w:szCs w:val="32"/>
          <w:lang w:eastAsia="zh-CN"/>
        </w:rPr>
        <w:t>万元。其中：办公用房</w:t>
      </w:r>
      <w:r>
        <w:rPr>
          <w:rFonts w:hint="eastAsia" w:ascii="仿宋_GB2312" w:eastAsia="仿宋_GB2312" w:cs="仿宋_GB2312"/>
          <w:color w:val="000000"/>
          <w:sz w:val="31"/>
          <w:szCs w:val="31"/>
        </w:rPr>
        <w:t>936</w:t>
      </w:r>
      <w:r>
        <w:rPr>
          <w:rFonts w:hint="default" w:ascii="Times New Roman" w:hAnsi="Times New Roman" w:eastAsia="仿宋_GB2312" w:cs="Times New Roman"/>
          <w:sz w:val="32"/>
          <w:szCs w:val="32"/>
          <w:lang w:eastAsia="zh-CN"/>
        </w:rPr>
        <w:t>平方米。预算部门（单位）共有公务用车</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辆，价值</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万元。单</w:t>
      </w:r>
      <w:r>
        <w:rPr>
          <w:rFonts w:hint="default" w:ascii="Times New Roman" w:hAnsi="Times New Roman" w:eastAsia="仿宋_GB2312" w:cs="Times New Roman"/>
          <w:spacing w:val="-6"/>
          <w:sz w:val="32"/>
          <w:szCs w:val="32"/>
          <w:lang w:eastAsia="zh-CN"/>
        </w:rPr>
        <w:t>价20万元以上的设备价值</w:t>
      </w:r>
      <w:r>
        <w:rPr>
          <w:rFonts w:hint="eastAsia"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lang w:eastAsia="zh-CN"/>
        </w:rPr>
        <w:t>万元。202</w:t>
      </w:r>
      <w:r>
        <w:rPr>
          <w:rFonts w:hint="eastAsia"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pacing w:val="-6"/>
          <w:sz w:val="32"/>
          <w:szCs w:val="32"/>
          <w:lang w:eastAsia="zh-CN"/>
        </w:rPr>
        <w:t>年拟采购固定资产约</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lang w:eastAsia="zh-CN"/>
        </w:rPr>
        <w:t>万元。</w:t>
      </w:r>
    </w:p>
    <w:p w14:paraId="3B442F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九、其他重要事项情况说明</w:t>
      </w:r>
    </w:p>
    <w:p w14:paraId="5AFF05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（一）政府性基金预算支出情况</w:t>
      </w:r>
    </w:p>
    <w:p w14:paraId="77144C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年使用政府性基金预算拨款安排支出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万元，比202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年预算增加（减少）</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万元，增长（下降）</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%，增长（下降）的主要原因是未安排预算，政府性基金预算支出情况表为空表。”</w:t>
      </w:r>
    </w:p>
    <w:p w14:paraId="0D9ADC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（二）非税收入情况</w:t>
      </w:r>
    </w:p>
    <w:p w14:paraId="3C7C2A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年本部门（单位）涉及非税收入，202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年计划征收</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万元。其中：中央（省级）批准设立</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个，主要是</w:t>
      </w:r>
      <w:r>
        <w:rPr>
          <w:rFonts w:hint="eastAsia" w:ascii="Times New Roman" w:hAnsi="Times New Roman" w:eastAsia="仿宋_GB2312" w:cs="Times New Roman"/>
          <w:sz w:val="32"/>
          <w:szCs w:val="32"/>
          <w:lang w:eastAsia="zh-CN"/>
        </w:rPr>
        <w:t>无。</w:t>
      </w:r>
    </w:p>
    <w:p w14:paraId="0EDA61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（三）重点项目情况</w:t>
      </w:r>
    </w:p>
    <w:p w14:paraId="4AA562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至少选取1个202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部门（单位）预算安排的经济社会发展类项目公开项目文本信息，包括项目名称、项目概况、立项依据、实施主体、实施周期、实施计划、年度预算安排、预期总体目标等内容。没有经济社会发展类项目支出的部门（单位）可公开其他类项目。</w:t>
      </w:r>
    </w:p>
    <w:p w14:paraId="12EE92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（四）部门管理转移支付情况</w:t>
      </w:r>
    </w:p>
    <w:p w14:paraId="5838F9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年，部门管理转移支付</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万元，比202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年预算增加（减少）</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万元，增长（下降）</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%，增长（下降）的主要原因是未安排预算，部门管理转移支付表为空表。</w:t>
      </w:r>
    </w:p>
    <w:p w14:paraId="7F56D0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p>
    <w:p w14:paraId="6DC842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1.一般性转移支付</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万元，具体项目有：</w:t>
      </w:r>
      <w:r>
        <w:rPr>
          <w:rFonts w:hint="eastAsia" w:ascii="Times New Roman" w:hAnsi="Times New Roman" w:eastAsia="仿宋_GB2312" w:cs="Times New Roman"/>
          <w:sz w:val="32"/>
          <w:szCs w:val="32"/>
          <w:lang w:eastAsia="zh-CN"/>
        </w:rPr>
        <w:t>无</w:t>
      </w:r>
    </w:p>
    <w:p w14:paraId="64F5BF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2.专项转移支付</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万元，具体项目有：</w:t>
      </w:r>
      <w:r>
        <w:rPr>
          <w:rFonts w:hint="eastAsia" w:ascii="Times New Roman" w:hAnsi="Times New Roman" w:eastAsia="仿宋_GB2312" w:cs="Times New Roman"/>
          <w:sz w:val="32"/>
          <w:szCs w:val="32"/>
          <w:lang w:eastAsia="zh-CN"/>
        </w:rPr>
        <w:t>无</w:t>
      </w:r>
      <w:bookmarkStart w:id="1" w:name="_GoBack"/>
      <w:bookmarkEnd w:id="1"/>
    </w:p>
    <w:p w14:paraId="2C5368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3.政府性基金转移支付</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万元，具体项目有</w:t>
      </w:r>
      <w:r>
        <w:rPr>
          <w:rFonts w:hint="eastAsia" w:ascii="Times New Roman" w:hAnsi="Times New Roman" w:eastAsia="仿宋_GB2312" w:cs="Times New Roman"/>
          <w:sz w:val="32"/>
          <w:szCs w:val="32"/>
          <w:lang w:eastAsia="zh-CN"/>
        </w:rPr>
        <w:t>：无</w:t>
      </w:r>
    </w:p>
    <w:p w14:paraId="3C8347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（五）国有资本经营预算支出情况 </w:t>
      </w:r>
    </w:p>
    <w:p w14:paraId="207255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年使用国有资本经营预算拨款安排支出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万元，比202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年预算增加（减少）</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万元，增长（下降）</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%，增长（下降）的主要原因是未安排预算，国有资本经营预算支出情况表为空表。</w:t>
      </w:r>
    </w:p>
    <w:p w14:paraId="3422C4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十、预算绩效管理情况</w:t>
      </w:r>
    </w:p>
    <w:p w14:paraId="6FBFFB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年预算绩效管理工作情况。包括本部门（单位）组织开展绩效目标管理、绩效运行监控、绩效评价（绩效自评及重点绩效评价）、结果应用等工作进展情况。</w:t>
      </w:r>
    </w:p>
    <w:p w14:paraId="486237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年部门（单位）预算重点项目支出绩效目标情况。202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年部门（单位）预算纳入绩效目标管理的二级项目</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个，主要是项目1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、项目2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lang w:eastAsia="zh-CN"/>
        </w:rPr>
        <w:t>、涉及财政支出 万元。其中：涉及一般公共预算项目</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个，涉及财政支出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万元，政府性基金项目</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个，涉及财政支出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年本部门及所属</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个预算单位纳入部门预算整体支出绩效目标管理/202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年本单位纳入单位预算整体支出绩效目标管理。</w:t>
      </w:r>
    </w:p>
    <w:p w14:paraId="1992E8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十一、名词解释</w:t>
      </w:r>
    </w:p>
    <w:p w14:paraId="2E4D6D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财政拨款收入：指县级财政当年拨付的资金。</w:t>
      </w:r>
    </w:p>
    <w:p w14:paraId="1C937B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2、一般公共预算:包括公共财政拨款（补助）资金、专项收入。</w:t>
      </w:r>
    </w:p>
    <w:p w14:paraId="0CFB6E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上年结转和结余：指以前年度尚未完成，结转到本年度按有关规定继续使用的资金。</w:t>
      </w:r>
    </w:p>
    <w:p w14:paraId="13BA3B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一般公共服务：指用于保障机构正常运行、开展管理活动的支出。</w:t>
      </w:r>
    </w:p>
    <w:p w14:paraId="391065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社会保障和就业：指用于离</w:t>
      </w:r>
      <w:r>
        <w:rPr>
          <w:rFonts w:hint="default" w:ascii="Times New Roman" w:hAnsi="Times New Roman" w:eastAsia="仿宋_GB2312" w:cs="Times New Roman"/>
          <w:sz w:val="32"/>
          <w:szCs w:val="32"/>
        </w:rPr>
        <w:t>退休人员的经费。</w:t>
      </w:r>
    </w:p>
    <w:p w14:paraId="410D22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住房公积金：指按照国家统一规定，依据确定的比例为在职职工缴存的长期住房储金。</w:t>
      </w:r>
    </w:p>
    <w:p w14:paraId="424036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、财政专户管理资金:包括专户管理行政事业性收费（主要是教育收费）、其他非税收入。</w:t>
      </w:r>
    </w:p>
    <w:p w14:paraId="5C439A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、其他资金:包括事业收入、事业经营收入、其他收入等。</w:t>
      </w:r>
    </w:p>
    <w:p w14:paraId="3E96CD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、基本支出:包括人员经费、公用经费（定额）。其中，人员经费包括工资福利支出、对个人和家庭的补助。</w:t>
      </w:r>
    </w:p>
    <w:p w14:paraId="7DD763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、项目支出:部门（单位）支出预算的组成部分，是各部门（单位）为完成其特定的行政任务或事业发展目标，在基本支出预算之外编制的年度项目支出计划。</w:t>
      </w:r>
    </w:p>
    <w:p w14:paraId="45C1BB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02CE96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机关运行经费:指各部门（单位）的公用经费，包括办公及印刷费、邮电费、差旅费、会议费、福利费、日常维修费、专用材料及一般设备购置费、办公用房水电费、办公用房取暖费、办公用房物业管理费、公务用车运行维护费及其他费用。</w:t>
      </w:r>
    </w:p>
    <w:p w14:paraId="7EA5D6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（请部门（单位）对编制中涉及的专业名词进行补充解释）</w:t>
      </w:r>
    </w:p>
    <w:p w14:paraId="383F72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仿宋_GB2312" w:cs="Times New Roman"/>
          <w:sz w:val="32"/>
          <w:szCs w:val="32"/>
          <w:lang w:val="en-US" w:eastAsia="zh-CN"/>
        </w:rPr>
      </w:pPr>
    </w:p>
    <w:p w14:paraId="7E74DD4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年部门（单位）预算公开表</w:t>
      </w:r>
    </w:p>
    <w:p w14:paraId="53CB7D4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1600" w:firstLineChars="5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年部门（单位）整体绩效目标申报表</w:t>
      </w:r>
    </w:p>
    <w:p w14:paraId="777702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600" w:firstLineChars="5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年项目绩效目标申报表</w:t>
      </w:r>
    </w:p>
    <w:p w14:paraId="57BB3F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仿宋_GB2312" w:cs="Times New Roman"/>
          <w:sz w:val="32"/>
          <w:szCs w:val="32"/>
          <w:lang w:val="en-US" w:eastAsia="zh-CN"/>
        </w:rPr>
      </w:pPr>
    </w:p>
    <w:p w14:paraId="6B05FE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仿宋_GB2312" w:cs="Times New Roman"/>
          <w:sz w:val="32"/>
          <w:szCs w:val="32"/>
          <w:lang w:val="en-US" w:eastAsia="zh-CN"/>
        </w:rPr>
      </w:pPr>
    </w:p>
    <w:p w14:paraId="270BD6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民乐县总工会</w:t>
      </w:r>
    </w:p>
    <w:p w14:paraId="75AEF9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2026</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eastAsia="zh-CN"/>
        </w:rPr>
        <w:t>日</w:t>
      </w:r>
    </w:p>
    <w:bookmarkEnd w:id="0"/>
    <w:p w14:paraId="67E8357C">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sz w:val="32"/>
          <w:szCs w:val="32"/>
        </w:rPr>
      </w:pPr>
    </w:p>
    <w:sectPr>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M2ZjdkNmM2YzRkMDE4N2MyNmU3OWFkMzgyNGYzMDQifQ=="/>
  </w:docVars>
  <w:rsids>
    <w:rsidRoot w:val="38343BCA"/>
    <w:rsid w:val="0006565C"/>
    <w:rsid w:val="000A77BB"/>
    <w:rsid w:val="00167F51"/>
    <w:rsid w:val="001734E7"/>
    <w:rsid w:val="001A042D"/>
    <w:rsid w:val="002309B7"/>
    <w:rsid w:val="002427FF"/>
    <w:rsid w:val="002809AB"/>
    <w:rsid w:val="002F061E"/>
    <w:rsid w:val="00352AC6"/>
    <w:rsid w:val="00385392"/>
    <w:rsid w:val="00410F16"/>
    <w:rsid w:val="00487E33"/>
    <w:rsid w:val="004D78FC"/>
    <w:rsid w:val="006634C7"/>
    <w:rsid w:val="00677929"/>
    <w:rsid w:val="006E0DAD"/>
    <w:rsid w:val="007C3813"/>
    <w:rsid w:val="0082379E"/>
    <w:rsid w:val="00825CF8"/>
    <w:rsid w:val="00873534"/>
    <w:rsid w:val="00935A6A"/>
    <w:rsid w:val="00936523"/>
    <w:rsid w:val="009C1FFE"/>
    <w:rsid w:val="00B1344D"/>
    <w:rsid w:val="00B53290"/>
    <w:rsid w:val="00BB3D8F"/>
    <w:rsid w:val="00BE477C"/>
    <w:rsid w:val="00C333D7"/>
    <w:rsid w:val="00C55706"/>
    <w:rsid w:val="00C93A3A"/>
    <w:rsid w:val="00D56ACC"/>
    <w:rsid w:val="00E86F07"/>
    <w:rsid w:val="00EC13F8"/>
    <w:rsid w:val="00EF0140"/>
    <w:rsid w:val="00F1226C"/>
    <w:rsid w:val="00F659B2"/>
    <w:rsid w:val="00FE335B"/>
    <w:rsid w:val="00FF7863"/>
    <w:rsid w:val="02072A78"/>
    <w:rsid w:val="06B82945"/>
    <w:rsid w:val="08FF59EA"/>
    <w:rsid w:val="0B04224A"/>
    <w:rsid w:val="0BBC540B"/>
    <w:rsid w:val="0C590374"/>
    <w:rsid w:val="16A67480"/>
    <w:rsid w:val="1B9C63B2"/>
    <w:rsid w:val="1D1B1BD3"/>
    <w:rsid w:val="1E841352"/>
    <w:rsid w:val="1F512D38"/>
    <w:rsid w:val="241025FD"/>
    <w:rsid w:val="2423331A"/>
    <w:rsid w:val="253C67A8"/>
    <w:rsid w:val="25922715"/>
    <w:rsid w:val="266A496B"/>
    <w:rsid w:val="267F6F03"/>
    <w:rsid w:val="27320BAF"/>
    <w:rsid w:val="28BB001F"/>
    <w:rsid w:val="28FF62EE"/>
    <w:rsid w:val="2A9C7456"/>
    <w:rsid w:val="2AD96DF8"/>
    <w:rsid w:val="2E580034"/>
    <w:rsid w:val="2E690493"/>
    <w:rsid w:val="2E9D5A91"/>
    <w:rsid w:val="3031512A"/>
    <w:rsid w:val="328F7945"/>
    <w:rsid w:val="34E23CB7"/>
    <w:rsid w:val="368340BC"/>
    <w:rsid w:val="370E02D0"/>
    <w:rsid w:val="38343BCA"/>
    <w:rsid w:val="38FE2BEF"/>
    <w:rsid w:val="3B934BB6"/>
    <w:rsid w:val="3BE14A4E"/>
    <w:rsid w:val="3DCA103D"/>
    <w:rsid w:val="3F3C7A00"/>
    <w:rsid w:val="47531E9D"/>
    <w:rsid w:val="47C5487F"/>
    <w:rsid w:val="485D651B"/>
    <w:rsid w:val="49490CA3"/>
    <w:rsid w:val="4A9C3A16"/>
    <w:rsid w:val="4C3D024E"/>
    <w:rsid w:val="4CC27294"/>
    <w:rsid w:val="4DB27309"/>
    <w:rsid w:val="52B848B9"/>
    <w:rsid w:val="5413452E"/>
    <w:rsid w:val="544321C9"/>
    <w:rsid w:val="54876B5B"/>
    <w:rsid w:val="58247941"/>
    <w:rsid w:val="585A65D3"/>
    <w:rsid w:val="5A236E98"/>
    <w:rsid w:val="5A381BD6"/>
    <w:rsid w:val="5CFC7C73"/>
    <w:rsid w:val="5D1551BE"/>
    <w:rsid w:val="5D455CDC"/>
    <w:rsid w:val="5DB93D44"/>
    <w:rsid w:val="5E2C247F"/>
    <w:rsid w:val="610A15E4"/>
    <w:rsid w:val="638E10F7"/>
    <w:rsid w:val="650D65AB"/>
    <w:rsid w:val="693F4FE9"/>
    <w:rsid w:val="6B0C2A72"/>
    <w:rsid w:val="6B24241D"/>
    <w:rsid w:val="6BDB207C"/>
    <w:rsid w:val="7157785F"/>
    <w:rsid w:val="72F3128D"/>
    <w:rsid w:val="754A2140"/>
    <w:rsid w:val="78827754"/>
    <w:rsid w:val="7CB21B9D"/>
    <w:rsid w:val="7EB01D3E"/>
    <w:rsid w:val="7F30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8"/>
      <w:szCs w:val="28"/>
      <w:lang w:val="en-US" w:eastAsia="en-US" w:bidi="ar-SA"/>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4171</Words>
  <Characters>4443</Characters>
  <Lines>20</Lines>
  <Paragraphs>5</Paragraphs>
  <TotalTime>165</TotalTime>
  <ScaleCrop>false</ScaleCrop>
  <LinksUpToDate>false</LinksUpToDate>
  <CharactersWithSpaces>4545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2019-01-25T04:25:00Z</dcterms:created>
  <dc:creator>lenovo</dc:creator>
  <cp:lastModifiedBy>丁国英</cp:lastModifiedBy>
  <cp:lastPrinted>2024-03-19T02:41:00Z</cp:lastPrinted>
  <dcterms:modified xsi:type="dcterms:W3CDTF">2026-04-01T06:38:57Z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204C0D92397E46CB838A42766C18075E</vt:lpwstr>
  </property>
  <property fmtid="{D5CDD505-2E9C-101B-9397-08002B2CF9AE}" pid="4" name="KSOTemplateDocerSaveRecord">
    <vt:lpwstr>eyJoZGlkIjoiNzZhZjUwYjUzNjNiMTZlOGQ5NWNjYjgwZmMwMWQwMGQiLCJ1c2VySWQiOiI0MzgzMjc0ODgifQ==</vt:lpwstr>
  </property>
</Properties>
</file>