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中共民乐县委机构编制委员会办公室      2023年度预算执行情况绩效自评的报告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县财政局：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根据《关于开展2023年度县级预算执行情况单位绩效自评暨2024年度绩效目标申报和事前绩效评估工作的通知》（民财监评〔2024〕1号）文件精神，按照“统一组织、分级实施”的原则，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我单位认真组织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2023年度预算执行情况绩效自评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工作，现将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2023年度县级预算执行情况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（一）部门主要职能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1.贯彻执行党和国家关于行政管理体制改革、机构改革和机构编制管理的方针、政策和法规；负责统一管理全县乡镇、党政机关，人大、政协机关，各民主党派和人民团体机关的机构设置、人员编制、人员结构比例和领导职数等机构编制工作；拟订全县机构编制管理的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2.指导、协调全县行政管理体制改革和机构改革工作；拟订全县行政管理体制改革和机构改革的总体方案，审核县直各部门“三定”规定和乡镇机构改革方案。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3.协调、规范县直各部门之间、各部门与乡镇之间的职能配置和权责划分。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.负责审核县直各部门的职能配置、机构设置、人员编制和领导职数；审核县直机关副科级以上内设机构、科级干部职数；审批县直机关股级内设机构；审核调整县直各部门、乡(镇)机构设置和人员编制总额；审核县政府派驻外地办事机构的机构编制；负责省、市委编办下达的各类专项编制的分配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5.负责拟订全县事业单位管理体制改革和机构改革方案；组织实施事业单位改革工作；审核事业单位的职能配置、机构设置、人员编制、人员结构比例、领导职数和经费供给形式。审批事业单位内设机构。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6.指导、协调事业单位管理体制改革和机构改革以及机构编制管理工作；审核副科级以上事业单位机构设置、人员编制和领</w:t>
      </w:r>
      <w:r>
        <w:rPr>
          <w:rFonts w:hint="eastAsia" w:ascii="仿宋_GB2312" w:hAnsi="黑体" w:eastAsia="仿宋_GB2312" w:cs="黑体"/>
          <w:color w:val="auto"/>
          <w:spacing w:val="-6"/>
          <w:sz w:val="32"/>
          <w:szCs w:val="32"/>
          <w:lang w:val="en-US" w:eastAsia="zh-CN"/>
        </w:rPr>
        <w:t>导职数；审批调整股级事业单位的机构设置、人员编制和领导职数。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7.负责机构编制政策法规的解释、汇编工作；承担、参与有关行政复议工作；开展行政管理体制改革、机构改革和机构编制管理的理论研究工作。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8.监督检查全县机关事业单位“三定”规定、机构改革以及机构编制政策法规的落实、执行情况；负责全县机构编制的法制建设，建立机构编制部门与相关部门协调配合约束机制；负责机</w:t>
      </w:r>
      <w:r>
        <w:rPr>
          <w:rFonts w:hint="eastAsia" w:ascii="仿宋_GB2312" w:hAnsi="黑体" w:eastAsia="仿宋_GB2312" w:cs="黑体"/>
          <w:color w:val="auto"/>
          <w:spacing w:val="-6"/>
          <w:sz w:val="32"/>
          <w:szCs w:val="32"/>
          <w:lang w:val="en-US" w:eastAsia="zh-CN"/>
        </w:rPr>
        <w:t>构编制违纪违规行为的预防和查处；负责机构编制考评奖励工作。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9.负责拟订全县事业单位登记管理工作的有关规范性文件；负责事业单位的登记管理和年检工作；审核全县机关事业单位网上名称工作。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10.负责全县机构编制实名制管理工作；负责全县机构编制</w:t>
      </w:r>
      <w:r>
        <w:rPr>
          <w:rFonts w:hint="eastAsia" w:ascii="仿宋_GB2312" w:hAnsi="黑体" w:eastAsia="仿宋_GB2312" w:cs="黑体"/>
          <w:color w:val="auto"/>
          <w:spacing w:val="-6"/>
          <w:sz w:val="32"/>
          <w:szCs w:val="32"/>
          <w:lang w:val="en-US" w:eastAsia="zh-CN"/>
        </w:rPr>
        <w:t>电子政务、信息宣传和统计工作；负责机构编制部门自身建设工作。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11.负责联系、协调双重领导，以省、市部门管理为主的驻民单位有关机构编制事宜。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12.完成县委、县政府、县委机构编制委员会和市委编办交办的其他工作任务。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（二）内设机构及所属单位概况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中共民乐县委机构编制委员会办公室内设职能股室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3个，即综合股、机构编制管理股、登记管理股。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属事业单位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1个：中共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民乐县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机构编制委员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办公室电子政务中心。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黑体" w:hAnsi="黑体" w:eastAsia="黑体" w:cs="黑体"/>
          <w:lang w:val="en-US" w:eastAsia="zh-CN"/>
        </w:rPr>
      </w:pPr>
      <w:r>
        <w:rPr>
          <w:rStyle w:val="13"/>
          <w:rFonts w:hint="eastAsia" w:ascii="黑体" w:hAnsi="黑体" w:eastAsia="黑体" w:cs="黑体"/>
          <w:lang w:val="en-US" w:eastAsia="zh-CN"/>
        </w:rPr>
        <w:t>二、绩效自评工作组织开展情况</w:t>
      </w:r>
      <w:r>
        <w:rPr>
          <w:rStyle w:val="14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一是高度重视，明确职责。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我单位及时召开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2023年度预算执行情况绩效自评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工作布置会议，由分管财务领导主持，各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股室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负责人参加，重点强调预算绩效管理工作的重要性和必要性，明确各项目绩效自评工作的责任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，确保自评工作有序、有效开展。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二是全面实施，有序开展。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内设机构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及下属事业单位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全部纳入绩效评价，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预算总金额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160.29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万元，实际执行数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167.66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万元。根据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整体支出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部门管理、履职效果、能力建设、服务对象满意度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设定评价指标，预算执行率和一级指标权重统一设置为：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部门管理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履职效果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42分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能力建设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6分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、服务对象满意度指标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黑体" w:hAnsi="黑体" w:eastAsia="黑体" w:cs="黑体"/>
          <w:lang w:val="en-US" w:eastAsia="zh-CN"/>
        </w:rPr>
      </w:pPr>
      <w:r>
        <w:rPr>
          <w:rStyle w:val="13"/>
          <w:rFonts w:hint="eastAsia" w:ascii="黑体" w:hAnsi="黑体" w:eastAsia="黑体" w:cs="黑体"/>
          <w:lang w:val="en-US" w:eastAsia="zh-CN"/>
        </w:rPr>
        <w:t>三、部门整体支出绩效自评情况分析</w:t>
      </w:r>
      <w:r>
        <w:rPr>
          <w:rStyle w:val="14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部门整体综合评价得分98分。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（一）部门决算情况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2023年部门决算收入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167.66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万元，其中：一般公共预算收入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167.66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2023年部门决算支出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167.66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万元。其中：基本支出167.66万元。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以学习贯彻习近平新时代中国特色社会主义思想主题教育及“三抓三促”行动为引擎，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严格落实集体决策制度和室务会议制度，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按照“一把手负总责，分管领导各负其责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一级抓一级，层层抓落实”的要求，坚持党风廉政建设与业务工作同部署、同安排、同落实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盯中央和省委安排部署的10项改革任务和要求，全面细致做好全县党政机构、事业单位、议事协调机构、挂牌机构的设立依据、历史沿革、人员编制的清理摸底工作。聚焦党的建设、经济发展、民生服务、平安法治四项主要职能统筹考虑乡镇党政机构和事业单位设置。及早研究各部门职责配置是否科学、编制配备是否合理、机构运行是否顺畅，做好机构改革前期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坚持优化协同高效原则，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根据中央、省委关于完善重大疫情防控体制机制、健全公共卫生应急管理体系部署要求，全面完成了疾控局、疾控中心的改革任务，提高了疾病预防控制和公共卫生安全保障能力。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整合全县经济动员、人民防空、交通战备等方面的综合协调职能，组建县国动办，构建完备的国防动员体系。吃透政策、摸清底数、理清职能，不断推进6大领域综合行政执法改革，推进行政执法职能回归机关，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巩固乡镇“一支队伍管执法”改革成果。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深入贯彻“人才是第一资源”的理念，紧紧围绕“3区3镇30村”的发展格局，围绕发展所需和民生保障，会同组织、人社部门公开招考、招聘、引进工作人员334人，将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2022年公开考录、聘用、安置和服务期满的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54名机关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工作人员及符合条件的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31名项目人员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纳入所在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编制管理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各项指标完成情况分析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各项指标全部完成。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黑体" w:hAnsi="黑体" w:eastAsia="黑体" w:cs="黑体"/>
          <w:lang w:val="en-US" w:eastAsia="zh-CN"/>
        </w:rPr>
      </w:pPr>
      <w:r>
        <w:rPr>
          <w:rStyle w:val="13"/>
          <w:rFonts w:hint="eastAsia" w:ascii="黑体" w:hAnsi="黑体" w:eastAsia="黑体" w:cs="黑体"/>
          <w:lang w:val="en-US" w:eastAsia="zh-CN"/>
        </w:rPr>
        <w:t>四、部门预算项目支出绩效自评情况分析</w:t>
      </w:r>
      <w:r>
        <w:rPr>
          <w:rStyle w:val="14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2023年，本部门预算支出项目0个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lang w:val="en-US" w:eastAsia="zh-CN"/>
        </w:rPr>
      </w:pPr>
      <w:r>
        <w:rPr>
          <w:rStyle w:val="13"/>
          <w:rFonts w:hint="eastAsia" w:ascii="黑体" w:hAnsi="黑体" w:eastAsia="黑体" w:cs="黑体"/>
          <w:lang w:val="en-US" w:eastAsia="zh-CN"/>
        </w:rPr>
        <w:t>五、部门管理的省市对县转移支付绩效自评情况分析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2023年，本部门共管理省市对县转移支付0项。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将以此次绩效评价结果作为以后年度预算编制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附件：2023年中共民乐县委机构编制委员会办公室整体支出绩效自评表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中共民乐县委机构编制委员会办公室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2024年2月26日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F032A"/>
    <w:multiLevelType w:val="singleLevel"/>
    <w:tmpl w:val="3B5F03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5NWFkZjhlYzkzMmU3YjhiOGIwNjIxOTEyYThmMDAifQ=="/>
  </w:docVars>
  <w:rsids>
    <w:rsidRoot w:val="00000000"/>
    <w:rsid w:val="00DA41DE"/>
    <w:rsid w:val="10811BC3"/>
    <w:rsid w:val="1E1D12FE"/>
    <w:rsid w:val="277C53CD"/>
    <w:rsid w:val="28825120"/>
    <w:rsid w:val="2CD40FEE"/>
    <w:rsid w:val="38017BE5"/>
    <w:rsid w:val="5B21526F"/>
    <w:rsid w:val="7215388A"/>
    <w:rsid w:val="789305EE"/>
    <w:rsid w:val="78AD24ED"/>
    <w:rsid w:val="7BC37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99"/>
    <w:pPr>
      <w:ind w:left="1680"/>
    </w:pPr>
  </w:style>
  <w:style w:type="paragraph" w:styleId="3">
    <w:name w:val="index 6"/>
    <w:basedOn w:val="1"/>
    <w:next w:val="1"/>
    <w:qFormat/>
    <w:uiPriority w:val="0"/>
    <w:pPr>
      <w:spacing w:line="54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 2"/>
    <w:basedOn w:val="1"/>
    <w:next w:val="1"/>
    <w:qFormat/>
    <w:uiPriority w:val="0"/>
    <w:pPr>
      <w:spacing w:line="700" w:lineRule="exact"/>
      <w:ind w:firstLine="630"/>
    </w:pPr>
    <w:rPr>
      <w:rFonts w:ascii="楷体_GB2312" w:eastAsia="楷体_GB2312"/>
      <w:b/>
      <w:bCs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autoRedefine/>
    <w:unhideWhenUsed/>
    <w:qFormat/>
    <w:uiPriority w:val="99"/>
    <w:rPr>
      <w:rFonts w:hint="default"/>
      <w:b/>
      <w:sz w:val="24"/>
      <w:szCs w:val="24"/>
    </w:rPr>
  </w:style>
  <w:style w:type="character" w:customStyle="1" w:styleId="11">
    <w:name w:val="font1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2">
    <w:name w:val="font01"/>
    <w:basedOn w:val="9"/>
    <w:autoRedefine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13">
    <w:name w:val="font71"/>
    <w:basedOn w:val="9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61"/>
    <w:basedOn w:val="9"/>
    <w:autoRedefine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6">
    <w:name w:val="font51"/>
    <w:basedOn w:val="9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2442</Words>
  <Characters>2539</Characters>
  <Lines>0</Lines>
  <Paragraphs>0</Paragraphs>
  <TotalTime>1</TotalTime>
  <ScaleCrop>false</ScaleCrop>
  <LinksUpToDate>false</LinksUpToDate>
  <CharactersWithSpaces>2571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2021-10-26T01:03:00Z</dcterms:created>
  <dc:creator>Administrator</dc:creator>
  <cp:lastModifiedBy>释怀～</cp:lastModifiedBy>
  <cp:lastPrinted>2024-01-05T13:13:00Z</cp:lastPrinted>
  <dcterms:modified xsi:type="dcterms:W3CDTF">2024-06-14T08:36:36Z</dcterms:modified>
  <dc:title>2021年度民乐县人力资源和社会保障局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F8EC65D246F948EEBBE5D285BCCEB8E5</vt:lpwstr>
  </property>
</Properties>
</file>