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甘肃</w:t>
      </w:r>
      <w:r>
        <w:rPr>
          <w:rFonts w:hint="eastAsia" w:ascii="方正小标宋简体" w:eastAsia="方正小标宋简体"/>
          <w:sz w:val="44"/>
          <w:szCs w:val="44"/>
        </w:rPr>
        <w:t>民乐工业园区管理委员会</w:t>
      </w:r>
      <w:r>
        <w:rPr>
          <w:rFonts w:hint="eastAsia" w:ascii="方正小标宋简体" w:eastAsia="方正小标宋简体"/>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关于上报2023年度部门整体支出绩效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目标监控报告的报告</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一、基本情况</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bCs/>
          <w:color w:val="auto"/>
          <w:sz w:val="32"/>
          <w:szCs w:val="32"/>
          <w:lang w:val="en"/>
        </w:rPr>
      </w:pPr>
      <w:r>
        <w:rPr>
          <w:rFonts w:hint="eastAsia" w:ascii="楷体_GB2312" w:hAnsi="楷体_GB2312" w:eastAsia="楷体_GB2312" w:cs="楷体_GB2312"/>
          <w:b/>
          <w:bCs/>
          <w:color w:val="auto"/>
          <w:sz w:val="32"/>
          <w:szCs w:val="32"/>
          <w:lang w:val="en"/>
        </w:rPr>
        <w:t>（一）部门主要职能</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民乐工业园区管理委员会是中共民乐县委、民乐县人民政府的派出机构,行政性质,实行合署办公、一套机构,为正处级。主要职责是：</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1.根据国家、省、市经济社会发展的方针政策和法律法规，拟订工业园区经济和社会发展中长期规划、高新技术产业发展规划并制定年度计划，经县委、县政府批准后组织实施；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2.编制工业园区土地利用总体规划、基础设施建设中长期规划和年度计划，经县委、县政府批准后组织实施；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3.根据国家及省市县对园区相关政策，在工业园区规划范围内行使行政审批、规划实施、项目管理等职权；</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4.负责工业园区招商引资和项目落地协调服务工作；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5.负责园区国有资产的监督管理；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6.负责工业园区内统计、财政、科技、环保、安监等工作；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7.负责工业园区内企业的设立、入驻、审核、管理和服务工作；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000000"/>
          <w:sz w:val="32"/>
        </w:rPr>
      </w:pPr>
      <w:r>
        <w:rPr>
          <w:rFonts w:ascii="仿宋_GB2312" w:hAnsi="仿宋_GB2312" w:eastAsia="仿宋_GB2312"/>
          <w:color w:val="000000"/>
          <w:sz w:val="32"/>
        </w:rPr>
        <w:t>8.生态宜居搬迁居民管理的职责；</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olor w:val="000000"/>
          <w:sz w:val="32"/>
        </w:rPr>
        <w:t>9.承办县委、县政府交办的其他事项。</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lang w:val="en"/>
        </w:rPr>
      </w:pPr>
      <w:r>
        <w:rPr>
          <w:rFonts w:hint="eastAsia" w:ascii="楷体_GB2312" w:hAnsi="楷体_GB2312" w:eastAsia="楷体_GB2312" w:cs="楷体_GB2312"/>
          <w:b/>
          <w:bCs/>
          <w:color w:val="auto"/>
          <w:sz w:val="32"/>
          <w:szCs w:val="32"/>
          <w:lang w:val="en"/>
        </w:rPr>
        <w:t>（二）内设机构及所属单位概况</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仿宋_GB2312" w:eastAsia="仿宋_GB2312"/>
          <w:color w:val="auto"/>
          <w:sz w:val="32"/>
        </w:rPr>
      </w:pPr>
      <w:r>
        <w:rPr>
          <w:rFonts w:ascii="仿宋_GB2312" w:hAnsi="仿宋_GB2312" w:eastAsia="仿宋_GB2312"/>
          <w:color w:val="auto"/>
          <w:sz w:val="32"/>
        </w:rPr>
        <w:t>机关内设6个科室，分别是：办公室</w:t>
      </w:r>
      <w:r>
        <w:rPr>
          <w:rFonts w:ascii="仿宋_GB2312" w:hAnsi="仿宋_GB2312" w:eastAsia="仿宋_GB2312"/>
          <w:color w:val="auto"/>
          <w:kern w:val="2"/>
          <w:sz w:val="32"/>
        </w:rPr>
        <w:t>(纪检监察室)、规划建设局</w:t>
      </w:r>
      <w:r>
        <w:rPr>
          <w:rFonts w:hint="eastAsia" w:ascii="仿宋_GB2312" w:hAnsi="仿宋_GB2312" w:eastAsia="仿宋_GB2312"/>
          <w:color w:val="auto"/>
          <w:kern w:val="2"/>
          <w:sz w:val="32"/>
          <w:lang w:eastAsia="zh-CN"/>
        </w:rPr>
        <w:t>、应急管理和生态环境局（应急管理和生态环境综合行政执法队）</w:t>
      </w:r>
      <w:r>
        <w:rPr>
          <w:rFonts w:ascii="仿宋_GB2312" w:hAnsi="仿宋_GB2312" w:eastAsia="仿宋_GB2312"/>
          <w:color w:val="auto"/>
          <w:kern w:val="2"/>
          <w:sz w:val="32"/>
        </w:rPr>
        <w:t>、经济发展局</w:t>
      </w:r>
      <w:r>
        <w:rPr>
          <w:rFonts w:hint="eastAsia" w:ascii="仿宋_GB2312" w:hAnsi="仿宋_GB2312" w:eastAsia="仿宋_GB2312"/>
          <w:color w:val="auto"/>
          <w:kern w:val="2"/>
          <w:sz w:val="32"/>
          <w:lang w:eastAsia="zh-CN"/>
        </w:rPr>
        <w:t>和</w:t>
      </w:r>
      <w:r>
        <w:rPr>
          <w:rFonts w:ascii="仿宋_GB2312" w:hAnsi="仿宋_GB2312" w:eastAsia="仿宋_GB2312"/>
          <w:color w:val="auto"/>
          <w:kern w:val="2"/>
          <w:sz w:val="32"/>
        </w:rPr>
        <w:t>招商服务局(生态环境局)、</w:t>
      </w:r>
      <w:r>
        <w:rPr>
          <w:rFonts w:ascii="仿宋_GB2312" w:hAnsi="仿宋_GB2312" w:eastAsia="仿宋_GB2312"/>
          <w:color w:val="auto"/>
          <w:sz w:val="32"/>
        </w:rPr>
        <w:t>社会事务局、</w:t>
      </w:r>
      <w:r>
        <w:rPr>
          <w:rFonts w:hint="eastAsia" w:ascii="仿宋_GB2312" w:hAnsi="仿宋_GB2312" w:eastAsia="仿宋_GB2312"/>
          <w:color w:val="auto"/>
          <w:sz w:val="32"/>
          <w:lang w:eastAsia="zh-CN"/>
        </w:rPr>
        <w:t>财政金融局（</w:t>
      </w:r>
      <w:r>
        <w:rPr>
          <w:rFonts w:ascii="仿宋_GB2312" w:hAnsi="仿宋_GB2312" w:eastAsia="仿宋_GB2312"/>
          <w:color w:val="auto"/>
          <w:sz w:val="32"/>
        </w:rPr>
        <w:t>民乐县国家农村产业融合发展示范园管理办公室</w:t>
      </w:r>
      <w:r>
        <w:rPr>
          <w:rFonts w:hint="eastAsia" w:ascii="仿宋_GB2312" w:hAnsi="仿宋_GB2312" w:eastAsia="仿宋_GB2312"/>
          <w:color w:val="auto"/>
          <w:sz w:val="32"/>
          <w:lang w:eastAsia="zh-CN"/>
        </w:rPr>
        <w:t>）</w:t>
      </w:r>
      <w:r>
        <w:rPr>
          <w:rFonts w:ascii="仿宋_GB2312" w:hAnsi="仿宋_GB2312" w:eastAsia="仿宋_GB2312"/>
          <w:color w:val="auto"/>
          <w:sz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pPr>
      <w:r>
        <w:rPr>
          <w:rFonts w:ascii="仿宋_GB2312" w:hAnsi="仿宋_GB2312" w:eastAsia="仿宋_GB2312" w:cs="Times New Roman"/>
          <w:color w:val="auto"/>
          <w:kern w:val="2"/>
          <w:sz w:val="32"/>
          <w:szCs w:val="24"/>
          <w:lang w:val="en-US" w:eastAsia="zh-CN" w:bidi="ar-SA"/>
        </w:rPr>
        <w:t>1.办公室（纪检监察室）：负责园区党建和党工委日常工作、纪检监察及群团工作；负责园区文秘、会务、信息、机要保密、档案管理工作；负责园区机构编制、人事、财务、资产管理工作；负责园区宣传、精神文明建设、意识形态工作；负责园区统战(民族宗教）、涉外事务协调以及对外宣传联络事务；负责公务用车管理调配、公务接待、综合协调、后勤服务等日常工作；拟订内部管理制度并督促落实。</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2.规划建设局：负责编制园区土地利用总体规划、基础设施建设中长期规划及控制性规划并组织实施；负责园区基础设施规划、建设、管理；负责园区内各类建设项目规划和施工许可的审核、监管，实施建设工程竣工验收；负责公建项目和水、电、路、气、讯等基础设施的建设、运营和维护工作；负责园区建筑领域安全生产和环境保护工作；负责规划建设和农民工工资支付方面的信访维稳工作；负责园区供暖工作；完成园区党工委、管委会和上级业务部门交办的其他任务。</w:t>
      </w:r>
    </w:p>
    <w:p>
      <w:pPr>
        <w:keepNext w:val="0"/>
        <w:keepLines w:val="0"/>
        <w:pageBreakBefore w:val="0"/>
        <w:widowControl/>
        <w:suppressLineNumbers w:val="0"/>
        <w:kinsoku/>
        <w:wordWrap/>
        <w:overflowPunct/>
        <w:topLinePunct w:val="0"/>
        <w:autoSpaceDE/>
        <w:autoSpaceDN/>
        <w:bidi w:val="0"/>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3.经济发展和招商服务局：负责工业园区经济运行调度、项目的核准、备案、上报和管理服务工作；负责工业园区企业生产经营活动的监测、分析、配合县业务部门做好企业统计工作；负责编制园区经济发展规划、高新技术产业发展规划及年度发展计划并组织实施；负责节能减排的综合协调工作，组织协调实施发展循环经济、资源节约和综合利用规划及政策措施；负责贯彻执行国家及省市县招商引资的方针政策、法律、法规；负责经济技术合作和招商引资项目库建设、管理工作；负责经济技术合作和招商引资重点项目的推介、洽谈和跟踪服务工作，并做好进驻园区企业日常服务工作，引导推进企业健康运转；负责编制园区投资指南、经济技术合作和招商引资项目宣传资料；负责科技创新和营商环境建设工作；负责经济发展和招商服务工作方面的信访维稳、安全生产和环境保护工作；完成园区党工委、管委会和上级业务部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4.应急管理和生态环境局（综合行政执法队）：负责应急管理工作，组织和指导应对安全生产类、自然灾害类等突发事件和综合防灾减灾救灾工作；负责组织、指导年度消防工作计划和应急预案体系建设，组织实施日常消防安全管理；负责园区突发公共事件应急处置工作的综合协调及相关组织管理工作；负责园区内安全生产、防灾减灾救灾、应急救援等应急管理综合行政执法工作；负责园区内生态环境保护、生态环境综合治理、水源地保护及生态示范创建、质量监督和节能减排、环保工作；负责园区食品安全工作；负责应急管理和生态环保方面的信访维稳工作；完成园区党工委、管委会和上级业务部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5.财政金融局（民乐县国家农村产业融合发展示范园管理办公室）：负责拟订园区金融业发展规划和政策措施并组织落实；负责编制园区财政预决算，投融资及资金争引；负责整合园区存量资产及资源，开展对外融资工作；承担企业融资协调服务工作，维护园区金融秩序；负责中小微企业创业创新孵化园管理运营；负责经营和管理土地、公用设施等国有资产，实现国有资产保值增值；负责承接和运用各级政府专项资金、项目资金和国债资金，建设政府投资项目；负责国家农村产业融合发展示范园(简称示范园）的建设、管理、发展等工作；负责示范园综合协调服务工作；负责示范园项目管理、建设、服务等工作；负责实施乡村振兴战略，构建一二三产业融合发展体系；负责财政金融工作方面的信访维稳工作；负责金融企业和国有企业的安全生产、环境保护工作；完成园区党工委、管委会和上级业务部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6.社会事务局：负责园区教育、卫生、文化、体育、旅游、民政、政法、综治、社保、医保、卫生健康、科学技术、退役军人事务等工作；承担园区内公共管理服务等工作；负责复兴苑、富强苑、幸福苑、圆梦苑社区党建、环境保护、社会事务工作；负责辖区公共安全管理组织协调工作，维护辖区安全稳定，保障辖区公共安全；负责组织开展辖区社会治安综合治理的防范和创建活动；负责接待居民来访，办理信访事项，协调、督促检查信访案件办理、落实；完成园区党工委、管委会和上级业务部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7.化工园区管理办公室：监督化工产业园污染物、污染源的防治；调查处理化工产业园环境污染纠纷、重大环境污染事故和生态破坏事件；配合市县环保局实施环境保护、安全生产事件的调查处理；参与化工产业园环境保护、节能减排、安全生产计划的制定和管理；定期分析化工产业园安全生产形势，研究、协调和解决安全生产中的重大问题；统筹化工产业园的应急救援工作，建立健全安全生产工作责任体系和考核评价机制；配合规划建设局做好化工园区规划设计和建设项目日常监管工作；配合规划建设局编制化工园区中长期规划、国土空间规划、土地利用总体规划基础建设中长期规划、控制性详细规划；配合规划建设局做好化工园区各类建设项目施工许可的审核、监管、建设工程竣工验收；负责化工产业园矛盾纠纷化解、信访维稳工作；完成园区党工委、管委会和上级业务部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8.社区服务中心：负责贯彻落实党的路线、方针、政策，宣传国家法律、法规；负责协调指导社区开展社区党建、公共服务和公益事业；统筹做好社会治理、卫生健康、文化体育、政法司法、教育科普、统一战线、退役军人、双拥共建、精神文明、民族宗教和群团等社会事务方面的管理和服务工作；负责公益活动为主的志愿者服务，开展便民利民文化娱乐服务，提供政务信息、便民服务信息等咨询服务，开展社区居民自助互助服务；负责辖区内社会保障、职业推介工作，采集就业岗位信息，做好职业介绍、就业援助、培训引导、用工登记等就业创业服务工作；负责开展社区居民共驻共建共治工作，推进社区建设窗口服务等便民服务工作；配合相关部门开展医保、养老保险及其他社会保险、困难人员生活保障、五保供养、孤残救助等社会保障服务工作；指导推动网格化建设服务工作；指导社区做好辖区内民政帮扶、慈善残联、矛盾纠纷调处、信访维稳、安全生产工作；完成园区党工委、管委会和上级业务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color w:val="auto"/>
          <w:kern w:val="2"/>
          <w:sz w:val="32"/>
          <w:szCs w:val="24"/>
          <w:lang w:val="en-US" w:eastAsia="zh-CN" w:bidi="ar-SA"/>
        </w:rPr>
      </w:pPr>
      <w:r>
        <w:rPr>
          <w:rFonts w:ascii="仿宋_GB2312" w:hAnsi="仿宋_GB2312" w:eastAsia="仿宋_GB2312" w:cs="Times New Roman"/>
          <w:color w:val="auto"/>
          <w:kern w:val="2"/>
          <w:sz w:val="32"/>
          <w:szCs w:val="24"/>
          <w:lang w:val="en-US" w:eastAsia="zh-CN" w:bidi="ar-SA"/>
        </w:rPr>
        <w:t>9.企业服务中心：协调政府与企业双向沟通建立联动服务机制，完善企业服务体系；建立企业综合服务平合，动态掌握和协调解决企业需求，协助掌握辖区内企业运营状况等信息；指导各类社会机构、中介组织的经营活动；为企业招商引资、高新技术应用、技术难题解决、科技成果孵化、产学研合作、产品交易等各类技术经济项目提供信息、咨询服务；协调落实各项优惠政策；完成园区党工委、管委会和上级业务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eastAsia="黑体"/>
          <w:lang w:val="en-US" w:eastAsia="zh-CN" w:bidi="ar"/>
        </w:rPr>
      </w:pPr>
      <w:r>
        <w:rPr>
          <w:rStyle w:val="15"/>
          <w:lang w:val="en-US" w:eastAsia="zh-CN" w:bidi="ar"/>
        </w:rPr>
        <w:t>二、监控工作开展情况</w:t>
      </w:r>
      <w:r>
        <w:rPr>
          <w:rStyle w:val="16"/>
          <w:rFonts w:eastAsia="黑体"/>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_GB2312" w:hAnsi="仿宋_GB2312" w:eastAsia="仿宋_GB2312"/>
          <w:color w:val="auto"/>
          <w:sz w:val="32"/>
        </w:rPr>
      </w:pPr>
      <w:r>
        <w:rPr>
          <w:rFonts w:hint="eastAsia" w:ascii="仿宋_GB2312" w:hAnsi="仿宋_GB2312" w:eastAsia="仿宋_GB2312"/>
          <w:color w:val="auto"/>
          <w:sz w:val="32"/>
        </w:rPr>
        <w:t>我单位及时召开202</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整体支出</w:t>
      </w:r>
      <w:r>
        <w:rPr>
          <w:rFonts w:hint="eastAsia" w:ascii="仿宋_GB2312" w:hAnsi="仿宋_GB2312" w:eastAsia="仿宋_GB2312"/>
          <w:color w:val="auto"/>
          <w:sz w:val="32"/>
        </w:rPr>
        <w:t>绩效</w:t>
      </w:r>
      <w:r>
        <w:rPr>
          <w:rFonts w:hint="eastAsia" w:ascii="仿宋_GB2312" w:hAnsi="仿宋_GB2312" w:eastAsia="仿宋_GB2312"/>
          <w:color w:val="auto"/>
          <w:sz w:val="32"/>
          <w:lang w:eastAsia="zh-CN"/>
        </w:rPr>
        <w:t>监控</w:t>
      </w:r>
      <w:r>
        <w:rPr>
          <w:rFonts w:hint="eastAsia" w:ascii="仿宋_GB2312" w:hAnsi="仿宋_GB2312" w:eastAsia="仿宋_GB2312"/>
          <w:color w:val="auto"/>
          <w:sz w:val="32"/>
        </w:rPr>
        <w:t>工作会议</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由分管财务领导主持，各局室负责人参加，重点强调</w:t>
      </w:r>
      <w:r>
        <w:rPr>
          <w:rFonts w:hint="eastAsia" w:ascii="仿宋_GB2312" w:hAnsi="仿宋_GB2312" w:eastAsia="仿宋_GB2312"/>
          <w:color w:val="auto"/>
          <w:sz w:val="32"/>
          <w:lang w:eastAsia="zh-CN"/>
        </w:rPr>
        <w:t>整体支出</w:t>
      </w:r>
      <w:r>
        <w:rPr>
          <w:rFonts w:hint="eastAsia" w:ascii="仿宋_GB2312" w:hAnsi="仿宋_GB2312" w:eastAsia="仿宋_GB2312"/>
          <w:color w:val="auto"/>
          <w:sz w:val="32"/>
        </w:rPr>
        <w:t>绩效</w:t>
      </w:r>
      <w:r>
        <w:rPr>
          <w:rFonts w:hint="eastAsia" w:ascii="仿宋_GB2312" w:hAnsi="仿宋_GB2312" w:eastAsia="仿宋_GB2312"/>
          <w:color w:val="auto"/>
          <w:sz w:val="32"/>
          <w:lang w:eastAsia="zh-CN"/>
        </w:rPr>
        <w:t>目标监控</w:t>
      </w:r>
      <w:r>
        <w:rPr>
          <w:rFonts w:hint="eastAsia" w:ascii="仿宋_GB2312" w:hAnsi="仿宋_GB2312" w:eastAsia="仿宋_GB2312"/>
          <w:color w:val="auto"/>
          <w:sz w:val="32"/>
        </w:rPr>
        <w:t>工作的重要性和必要性，明确各责任</w:t>
      </w:r>
      <w:r>
        <w:rPr>
          <w:rFonts w:hint="eastAsia" w:ascii="仿宋_GB2312" w:hAnsi="仿宋_GB2312" w:eastAsia="仿宋_GB2312"/>
          <w:color w:val="auto"/>
          <w:sz w:val="32"/>
          <w:lang w:eastAsia="zh-CN"/>
        </w:rPr>
        <w:t>局室</w:t>
      </w:r>
      <w:r>
        <w:rPr>
          <w:rFonts w:hint="eastAsia" w:ascii="仿宋_GB2312" w:hAnsi="仿宋_GB2312" w:eastAsia="仿宋_GB2312"/>
          <w:color w:val="auto"/>
          <w:sz w:val="32"/>
        </w:rPr>
        <w:t>，确保</w:t>
      </w:r>
      <w:r>
        <w:rPr>
          <w:rFonts w:hint="eastAsia" w:ascii="仿宋_GB2312" w:hAnsi="仿宋_GB2312" w:eastAsia="仿宋_GB2312"/>
          <w:color w:val="auto"/>
          <w:sz w:val="32"/>
          <w:lang w:eastAsia="zh-CN"/>
        </w:rPr>
        <w:t>整体支出</w:t>
      </w:r>
      <w:r>
        <w:rPr>
          <w:rFonts w:hint="eastAsia" w:ascii="仿宋_GB2312" w:hAnsi="仿宋_GB2312" w:eastAsia="仿宋_GB2312"/>
          <w:color w:val="auto"/>
          <w:sz w:val="32"/>
        </w:rPr>
        <w:t>绩效</w:t>
      </w:r>
      <w:r>
        <w:rPr>
          <w:rFonts w:hint="eastAsia" w:ascii="仿宋_GB2312" w:hAnsi="仿宋_GB2312" w:eastAsia="仿宋_GB2312"/>
          <w:color w:val="auto"/>
          <w:sz w:val="32"/>
          <w:lang w:eastAsia="zh-CN"/>
        </w:rPr>
        <w:t>目标监控</w:t>
      </w:r>
      <w:r>
        <w:rPr>
          <w:rFonts w:hint="eastAsia" w:ascii="仿宋_GB2312" w:hAnsi="仿宋_GB2312" w:eastAsia="仿宋_GB2312"/>
          <w:color w:val="auto"/>
          <w:sz w:val="32"/>
        </w:rPr>
        <w:t>工作有序、有效开展</w:t>
      </w:r>
      <w:r>
        <w:rPr>
          <w:rFonts w:hint="eastAsia" w:ascii="仿宋_GB2312" w:hAnsi="仿宋_GB2312" w:eastAsia="仿宋_GB2312"/>
          <w:color w:val="auto"/>
          <w:sz w:val="32"/>
          <w:lang w:eastAsia="zh-CN"/>
        </w:rPr>
        <w:t>。根据整体支出情况，设定部门管理、履职效果、能力建设、满意度指标</w:t>
      </w:r>
      <w:r>
        <w:rPr>
          <w:rFonts w:hint="eastAsia" w:ascii="仿宋_GB2312" w:hAnsi="仿宋_GB2312"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color w:val="auto"/>
          <w:kern w:val="0"/>
          <w:sz w:val="32"/>
          <w:szCs w:val="24"/>
          <w:lang w:val="en-US" w:eastAsia="zh-CN" w:bidi="ar"/>
        </w:rPr>
      </w:pPr>
      <w:r>
        <w:rPr>
          <w:rFonts w:hint="eastAsia" w:ascii="黑体" w:hAnsi="黑体" w:eastAsia="黑体" w:cs="黑体"/>
          <w:color w:val="auto"/>
          <w:sz w:val="32"/>
          <w:szCs w:val="32"/>
          <w:lang w:val="en" w:eastAsia="zh-CN"/>
        </w:rPr>
        <w:t>三、</w:t>
      </w:r>
      <w:r>
        <w:rPr>
          <w:rFonts w:hint="eastAsia" w:ascii="黑体" w:hAnsi="黑体" w:eastAsia="黑体" w:cs="黑体"/>
          <w:color w:val="auto"/>
          <w:sz w:val="32"/>
          <w:szCs w:val="32"/>
          <w:lang w:val="en"/>
        </w:rPr>
        <w:t>部门整体支出</w:t>
      </w:r>
      <w:r>
        <w:rPr>
          <w:rStyle w:val="15"/>
          <w:lang w:val="en-US" w:eastAsia="zh-CN" w:bidi="ar"/>
        </w:rPr>
        <w:t>绩效目标监控情况</w:t>
      </w:r>
    </w:p>
    <w:p>
      <w:pPr>
        <w:pStyle w:val="20"/>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theme="minorBidi"/>
          <w:color w:val="auto"/>
          <w:kern w:val="0"/>
          <w:sz w:val="32"/>
          <w:szCs w:val="24"/>
          <w:lang w:val="en-US" w:eastAsia="zh-CN" w:bidi="ar"/>
        </w:rPr>
        <w:t>2023年，我单位共涉及</w:t>
      </w:r>
      <w:r>
        <w:rPr>
          <w:rFonts w:hint="eastAsia" w:ascii="仿宋_GB2312" w:hAnsi="仿宋_GB2312" w:eastAsia="仿宋_GB2312" w:cs="仿宋_GB2312"/>
          <w:color w:val="auto"/>
          <w:sz w:val="32"/>
          <w:szCs w:val="32"/>
        </w:rPr>
        <w:t>县级安排项目资金</w:t>
      </w:r>
      <w:r>
        <w:rPr>
          <w:rFonts w:hint="eastAsia" w:ascii="仿宋_GB2312" w:hAnsi="仿宋_GB2312" w:eastAsia="仿宋_GB2312" w:cs="仿宋_GB2312"/>
          <w:color w:val="auto"/>
          <w:sz w:val="32"/>
          <w:szCs w:val="32"/>
          <w:lang w:val="en-US" w:eastAsia="zh-CN"/>
        </w:rPr>
        <w:t>1项</w:t>
      </w:r>
      <w:r>
        <w:rPr>
          <w:rFonts w:hint="eastAsia" w:ascii="仿宋_GB2312" w:hAnsi="仿宋_GB2312" w:eastAsia="仿宋_GB2312" w:cstheme="minorBidi"/>
          <w:color w:val="auto"/>
          <w:kern w:val="0"/>
          <w:sz w:val="32"/>
          <w:szCs w:val="24"/>
          <w:lang w:val="en-US" w:eastAsia="zh-CN" w:bidi="ar"/>
        </w:rPr>
        <w:t>，当年各级预算共安排</w:t>
      </w:r>
      <w:r>
        <w:rPr>
          <w:rFonts w:hint="eastAsia" w:ascii="仿宋_GB2312" w:hAnsi="仿宋_GB2312" w:eastAsia="仿宋_GB2312" w:cs="仿宋_GB2312"/>
          <w:color w:val="auto"/>
          <w:sz w:val="32"/>
          <w:szCs w:val="32"/>
          <w:shd w:val="clear" w:color="auto" w:fill="FFFFFF"/>
          <w:lang w:val="en-US" w:eastAsia="zh-CN"/>
        </w:rPr>
        <w:t>696.4万元，1-6月份实际支出126.6万元</w:t>
      </w:r>
      <w:r>
        <w:rPr>
          <w:rFonts w:hint="eastAsia" w:ascii="仿宋_GB2312" w:hAnsi="仿宋_GB2312" w:eastAsia="仿宋_GB2312" w:cstheme="minorBidi"/>
          <w:color w:val="auto"/>
          <w:kern w:val="0"/>
          <w:sz w:val="32"/>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五、绩效自评结果拟应用和公开情况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color w:val="auto"/>
          <w:kern w:val="0"/>
          <w:sz w:val="32"/>
          <w:szCs w:val="32"/>
        </w:rPr>
      </w:pPr>
      <w:r>
        <w:rPr>
          <w:rFonts w:hint="eastAsia" w:ascii="仿宋_GB2312" w:hAnsi="仿宋_GB2312" w:eastAsia="仿宋_GB2312" w:cs="仿宋_GB2312"/>
          <w:color w:val="auto"/>
          <w:kern w:val="0"/>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p>
      <w:pPr>
        <w:pStyle w:val="2"/>
        <w:rPr>
          <w:rFonts w:hint="eastAsia"/>
          <w:lang w:val="en-US" w:eastAsia="zh-CN"/>
        </w:rPr>
      </w:pPr>
      <w:bookmarkStart w:id="0" w:name="_GoBack"/>
      <w:bookmarkEnd w:id="0"/>
    </w:p>
    <w:p>
      <w:pPr>
        <w:pStyle w:val="2"/>
        <w:rPr>
          <w:rFonts w:hint="default"/>
          <w:lang w:val="en-US" w:eastAsia="zh-CN"/>
        </w:rPr>
      </w:pP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left="0" w:firstLine="2880" w:firstLineChars="9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甘肃民乐工业园区管理委员会办公室</w:t>
      </w:r>
    </w:p>
    <w:p>
      <w:pPr>
        <w:pStyle w:val="2"/>
        <w:ind w:firstLine="3840" w:firstLineChars="1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2023年10月11日</w:t>
      </w:r>
    </w:p>
    <w:sectPr>
      <w:footerReference r:id="rId3" w:type="default"/>
      <w:pgSz w:w="11906" w:h="16838"/>
      <w:pgMar w:top="1621" w:right="1633" w:bottom="1621"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jZmMWMxZmJmYzgwYmRhNWRlNmFhMzU0YzI2ZjAifQ=="/>
    <w:docVar w:name="KSO_WPS_MARK_KEY" w:val="dce816db-b8f9-43de-8b6d-c1fe78926d46"/>
  </w:docVars>
  <w:rsids>
    <w:rsidRoot w:val="37C67F62"/>
    <w:rsid w:val="00A8347F"/>
    <w:rsid w:val="01AA3877"/>
    <w:rsid w:val="02136629"/>
    <w:rsid w:val="04B223DC"/>
    <w:rsid w:val="05B52CAA"/>
    <w:rsid w:val="05B9677F"/>
    <w:rsid w:val="0620235A"/>
    <w:rsid w:val="079B438E"/>
    <w:rsid w:val="0BAD28E2"/>
    <w:rsid w:val="0BBC0D77"/>
    <w:rsid w:val="0C825B1D"/>
    <w:rsid w:val="0FFB215A"/>
    <w:rsid w:val="11BA65FD"/>
    <w:rsid w:val="12C0739F"/>
    <w:rsid w:val="12E101E6"/>
    <w:rsid w:val="16504596"/>
    <w:rsid w:val="16D231FD"/>
    <w:rsid w:val="16FC0555"/>
    <w:rsid w:val="17F74351"/>
    <w:rsid w:val="18884C1A"/>
    <w:rsid w:val="1B0A464B"/>
    <w:rsid w:val="1B107B9F"/>
    <w:rsid w:val="1B245FF1"/>
    <w:rsid w:val="1BFFF082"/>
    <w:rsid w:val="1C0B78E0"/>
    <w:rsid w:val="1D1F17FB"/>
    <w:rsid w:val="1DC53ABB"/>
    <w:rsid w:val="1E1E766F"/>
    <w:rsid w:val="1E282BB1"/>
    <w:rsid w:val="1FA011F2"/>
    <w:rsid w:val="1FB35566"/>
    <w:rsid w:val="21345939"/>
    <w:rsid w:val="215869F4"/>
    <w:rsid w:val="22B475F9"/>
    <w:rsid w:val="233A0BA3"/>
    <w:rsid w:val="23916A02"/>
    <w:rsid w:val="25592D3B"/>
    <w:rsid w:val="26D83139"/>
    <w:rsid w:val="274671C6"/>
    <w:rsid w:val="27A36B33"/>
    <w:rsid w:val="28E03E9F"/>
    <w:rsid w:val="2AC86999"/>
    <w:rsid w:val="2AE70333"/>
    <w:rsid w:val="2B65068C"/>
    <w:rsid w:val="2D1A7FCD"/>
    <w:rsid w:val="2FE37DD1"/>
    <w:rsid w:val="313E5C07"/>
    <w:rsid w:val="3150593A"/>
    <w:rsid w:val="33B70F37"/>
    <w:rsid w:val="344A5F95"/>
    <w:rsid w:val="34DB551B"/>
    <w:rsid w:val="35FA9A3E"/>
    <w:rsid w:val="37C67F62"/>
    <w:rsid w:val="38BD5663"/>
    <w:rsid w:val="390B0AC4"/>
    <w:rsid w:val="39B36A66"/>
    <w:rsid w:val="3A0C30DA"/>
    <w:rsid w:val="3A1D1004"/>
    <w:rsid w:val="3B0746F0"/>
    <w:rsid w:val="3DE8273D"/>
    <w:rsid w:val="3E4AC826"/>
    <w:rsid w:val="3EB46EC5"/>
    <w:rsid w:val="3ED23D8D"/>
    <w:rsid w:val="4010076E"/>
    <w:rsid w:val="416C35EE"/>
    <w:rsid w:val="42295B17"/>
    <w:rsid w:val="4380288B"/>
    <w:rsid w:val="450B3BFA"/>
    <w:rsid w:val="45DC10F2"/>
    <w:rsid w:val="46FF4B26"/>
    <w:rsid w:val="47057F6B"/>
    <w:rsid w:val="477E05C9"/>
    <w:rsid w:val="47811F51"/>
    <w:rsid w:val="47C3256A"/>
    <w:rsid w:val="481A7A35"/>
    <w:rsid w:val="48E30B1A"/>
    <w:rsid w:val="49940662"/>
    <w:rsid w:val="49A07220"/>
    <w:rsid w:val="4BE3430E"/>
    <w:rsid w:val="4DD31BE6"/>
    <w:rsid w:val="4F912F4E"/>
    <w:rsid w:val="4FE03BF0"/>
    <w:rsid w:val="4FF67B13"/>
    <w:rsid w:val="504161E9"/>
    <w:rsid w:val="506D09BA"/>
    <w:rsid w:val="50AB794F"/>
    <w:rsid w:val="51E52A66"/>
    <w:rsid w:val="52472E2F"/>
    <w:rsid w:val="535266B3"/>
    <w:rsid w:val="53B61A7D"/>
    <w:rsid w:val="53E65255"/>
    <w:rsid w:val="54182FCB"/>
    <w:rsid w:val="5509476E"/>
    <w:rsid w:val="55837A42"/>
    <w:rsid w:val="5719E9AF"/>
    <w:rsid w:val="57C9005A"/>
    <w:rsid w:val="59352B9C"/>
    <w:rsid w:val="59543849"/>
    <w:rsid w:val="59B81CC8"/>
    <w:rsid w:val="59D800F7"/>
    <w:rsid w:val="5B7E3820"/>
    <w:rsid w:val="5C7E3B7E"/>
    <w:rsid w:val="5D347D3A"/>
    <w:rsid w:val="5FBD5702"/>
    <w:rsid w:val="5FE7296D"/>
    <w:rsid w:val="603C0FEF"/>
    <w:rsid w:val="60477D84"/>
    <w:rsid w:val="62233ED9"/>
    <w:rsid w:val="627B5AC3"/>
    <w:rsid w:val="63404148"/>
    <w:rsid w:val="6413668F"/>
    <w:rsid w:val="65640A91"/>
    <w:rsid w:val="66564386"/>
    <w:rsid w:val="66833198"/>
    <w:rsid w:val="66C84968"/>
    <w:rsid w:val="66CE6787"/>
    <w:rsid w:val="67472418"/>
    <w:rsid w:val="675766DC"/>
    <w:rsid w:val="67CE0F1A"/>
    <w:rsid w:val="67F85E08"/>
    <w:rsid w:val="682F73E7"/>
    <w:rsid w:val="6A2E11DB"/>
    <w:rsid w:val="6A870860"/>
    <w:rsid w:val="6BCF586E"/>
    <w:rsid w:val="6BEC5C84"/>
    <w:rsid w:val="6C832144"/>
    <w:rsid w:val="6D8819DC"/>
    <w:rsid w:val="6E602011"/>
    <w:rsid w:val="6E990C47"/>
    <w:rsid w:val="6EFCF67D"/>
    <w:rsid w:val="6F3A3E83"/>
    <w:rsid w:val="6FFE3E9B"/>
    <w:rsid w:val="70423743"/>
    <w:rsid w:val="709B5B41"/>
    <w:rsid w:val="724644A7"/>
    <w:rsid w:val="73520AD0"/>
    <w:rsid w:val="74281823"/>
    <w:rsid w:val="76C84BF7"/>
    <w:rsid w:val="7731631C"/>
    <w:rsid w:val="774502E9"/>
    <w:rsid w:val="7AB530B6"/>
    <w:rsid w:val="7AD9749A"/>
    <w:rsid w:val="7ADC7159"/>
    <w:rsid w:val="7B596F97"/>
    <w:rsid w:val="7B672C31"/>
    <w:rsid w:val="7BB96FE3"/>
    <w:rsid w:val="7CDC59B8"/>
    <w:rsid w:val="7E1E12D9"/>
    <w:rsid w:val="7E6F5ED5"/>
    <w:rsid w:val="7ECC04B4"/>
    <w:rsid w:val="7F793564"/>
    <w:rsid w:val="8DFF3124"/>
    <w:rsid w:val="AFD66A06"/>
    <w:rsid w:val="DF7F73FC"/>
    <w:rsid w:val="E7F73AA3"/>
    <w:rsid w:val="EFDA077A"/>
    <w:rsid w:val="EFDA09FF"/>
    <w:rsid w:val="F0FF6EC7"/>
    <w:rsid w:val="F6D98BBB"/>
    <w:rsid w:val="F7A59A29"/>
    <w:rsid w:val="F7EFA1DC"/>
    <w:rsid w:val="F7F4083F"/>
    <w:rsid w:val="FE371A11"/>
    <w:rsid w:val="FEBBE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index 5"/>
    <w:basedOn w:val="1"/>
    <w:next w:val="1"/>
    <w:qFormat/>
    <w:uiPriority w:val="99"/>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semiHidden/>
    <w:qFormat/>
    <w:uiPriority w:val="0"/>
    <w:pPr>
      <w:spacing w:line="280" w:lineRule="atLeast"/>
      <w:ind w:firstLine="567" w:firstLineChars="200"/>
      <w:jc w:val="left"/>
    </w:pPr>
    <w:rPr>
      <w:kern w:val="26"/>
      <w:sz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unhideWhenUsed/>
    <w:qFormat/>
    <w:uiPriority w:val="99"/>
    <w:rPr>
      <w:rFonts w:hint="default"/>
      <w:b/>
      <w:sz w:val="24"/>
      <w:szCs w:val="24"/>
    </w:rPr>
  </w:style>
  <w:style w:type="character" w:styleId="12">
    <w:name w:val="page number"/>
    <w:basedOn w:val="10"/>
    <w:qFormat/>
    <w:uiPriority w:val="0"/>
  </w:style>
  <w:style w:type="character" w:customStyle="1" w:styleId="13">
    <w:name w:val="font11"/>
    <w:basedOn w:val="10"/>
    <w:qFormat/>
    <w:uiPriority w:val="0"/>
    <w:rPr>
      <w:rFonts w:hint="eastAsia" w:ascii="宋体" w:hAnsi="宋体" w:eastAsia="宋体" w:cs="宋体"/>
      <w:b/>
      <w:bCs/>
      <w:color w:val="000000"/>
      <w:sz w:val="44"/>
      <w:szCs w:val="44"/>
      <w:u w:val="none"/>
    </w:rPr>
  </w:style>
  <w:style w:type="character" w:customStyle="1" w:styleId="14">
    <w:name w:val="font01"/>
    <w:basedOn w:val="10"/>
    <w:qFormat/>
    <w:uiPriority w:val="0"/>
    <w:rPr>
      <w:rFonts w:ascii="仿宋_GB2312" w:eastAsia="仿宋_GB2312" w:cs="仿宋_GB2312"/>
      <w:color w:val="000000"/>
      <w:sz w:val="44"/>
      <w:szCs w:val="44"/>
      <w:u w:val="none"/>
    </w:rPr>
  </w:style>
  <w:style w:type="character" w:customStyle="1" w:styleId="15">
    <w:name w:val="font71"/>
    <w:basedOn w:val="10"/>
    <w:qFormat/>
    <w:uiPriority w:val="0"/>
    <w:rPr>
      <w:rFonts w:hint="eastAsia" w:ascii="黑体" w:hAnsi="宋体" w:eastAsia="黑体" w:cs="黑体"/>
      <w:color w:val="000000"/>
      <w:sz w:val="32"/>
      <w:szCs w:val="32"/>
      <w:u w:val="none"/>
    </w:rPr>
  </w:style>
  <w:style w:type="character" w:customStyle="1" w:styleId="16">
    <w:name w:val="font61"/>
    <w:basedOn w:val="10"/>
    <w:qFormat/>
    <w:uiPriority w:val="0"/>
    <w:rPr>
      <w:rFonts w:ascii="Arial" w:hAnsi="Arial" w:cs="Arial"/>
      <w:color w:val="000000"/>
      <w:sz w:val="32"/>
      <w:szCs w:val="32"/>
      <w:u w:val="none"/>
    </w:rPr>
  </w:style>
  <w:style w:type="character" w:customStyle="1" w:styleId="17">
    <w:name w:val="font31"/>
    <w:basedOn w:val="10"/>
    <w:qFormat/>
    <w:uiPriority w:val="0"/>
    <w:rPr>
      <w:rFonts w:hint="eastAsia" w:ascii="楷体" w:hAnsi="楷体" w:eastAsia="楷体" w:cs="楷体"/>
      <w:color w:val="000000"/>
      <w:sz w:val="32"/>
      <w:szCs w:val="32"/>
      <w:u w:val="none"/>
    </w:rPr>
  </w:style>
  <w:style w:type="character" w:customStyle="1" w:styleId="18">
    <w:name w:val="font51"/>
    <w:basedOn w:val="10"/>
    <w:qFormat/>
    <w:uiPriority w:val="0"/>
    <w:rPr>
      <w:rFonts w:hint="default" w:ascii="仿宋_GB2312" w:eastAsia="仿宋_GB2312" w:cs="仿宋_GB2312"/>
      <w:color w:val="000000"/>
      <w:sz w:val="32"/>
      <w:szCs w:val="32"/>
      <w:u w:val="none"/>
    </w:rPr>
  </w:style>
  <w:style w:type="paragraph" w:styleId="19">
    <w:name w:val="List Paragraph"/>
    <w:basedOn w:val="1"/>
    <w:qFormat/>
    <w:uiPriority w:val="0"/>
    <w:pPr>
      <w:ind w:firstLine="420" w:firstLineChars="200"/>
    </w:pPr>
    <w:rPr>
      <w:rFonts w:ascii="Times New Roman" w:hAnsi="Times New Roman" w:eastAsia="宋体" w:cs="Times New Roman"/>
    </w:rPr>
  </w:style>
  <w:style w:type="paragraph" w:customStyle="1" w:styleId="20">
    <w:name w:val="p0"/>
    <w:basedOn w:val="1"/>
    <w:qFormat/>
    <w:uiPriority w:val="0"/>
    <w:pPr>
      <w:widowControl/>
      <w:spacing w:line="595" w:lineRule="atLeast"/>
      <w:ind w:left="1"/>
    </w:pPr>
    <w:rPr>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9486</Words>
  <Characters>10381</Characters>
  <Lines>0</Lines>
  <Paragraphs>0</Paragraphs>
  <TotalTime>1</TotalTime>
  <ScaleCrop>false</ScaleCrop>
  <LinksUpToDate>false</LinksUpToDate>
  <CharactersWithSpaces>10501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2021-10-29T01:03:00Z</dcterms:created>
  <dc:creator>Administrator</dc:creator>
  <cp:lastModifiedBy>admin</cp:lastModifiedBy>
  <cp:lastPrinted>2024-03-16T03:17:00Z</cp:lastPrinted>
  <dcterms:modified xsi:type="dcterms:W3CDTF">2024-03-25T10:42:10Z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F8EC65D246F948EEBBE5D285BCCEB8E5</vt:lpwstr>
  </property>
</Properties>
</file>