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EB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2BB90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民乐县“批零住餐”四行业评价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办法</w:t>
      </w:r>
    </w:p>
    <w:p w14:paraId="3C6F6C2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（征求意见稿）</w:t>
      </w:r>
    </w:p>
    <w:p w14:paraId="7FDC0A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8EB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为深入贯彻国家、省、市关于促进商贸流通和消费升级的决策部署，推动我县批发、零售、住宿、餐饮（以下简称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批零住餐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）四行业高质量发展，完善城乡市场体系，激发消费潜力，助力乡村振兴和县域经济转型升级，特制定本办法。</w:t>
      </w:r>
    </w:p>
    <w:p w14:paraId="07B67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一、总体思想</w:t>
      </w:r>
    </w:p>
    <w:p w14:paraId="3F428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习近平新时代中国特色社会主义思想为指导，全面贯彻党的二十大精神，坚持稳中求进工作总基调，完整、准确、全面贯彻新发展理念，主动服务和融入新发展格局。立足民乐县实际，以推动高质量发展为主题，以深化供给侧结构性改革为主线，以满足人民日益增长的美好生活需要为根本目的，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扩总量、提质量、增效益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健全商贸流通体系，激发市场主体活力，促进消费升级，推动批发、零售、住宿、餐饮四行业协同发展，为乡村振兴和县域经济高质量发展提供有力支撑。</w:t>
      </w:r>
    </w:p>
    <w:p w14:paraId="35625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评价对象</w:t>
      </w:r>
    </w:p>
    <w:p w14:paraId="2276B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南丰镇、永固镇、民联镇、洪水镇、三堡镇、六坝镇、顺化镇、丰乐镇、新天镇、南古镇。</w:t>
      </w:r>
    </w:p>
    <w:p w14:paraId="4613803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评价内容及标准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​</w:t>
      </w:r>
    </w:p>
    <w:p w14:paraId="2F0D87B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县工信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商务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负责数据核定、县政府督查室负责具体组织实施考核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，评价结果提交县政府常务会议审定后，县财政局根据评价结果按年度追加或削减相关镇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F20301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（一）评分方式​</w:t>
      </w:r>
    </w:p>
    <w:p w14:paraId="079AEBD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年度积分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制考核模式。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​</w:t>
      </w:r>
    </w:p>
    <w:p w14:paraId="777E22C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（二）评价周期​</w:t>
      </w:r>
    </w:p>
    <w:p w14:paraId="58EFC01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年度总评于次年1月31日前完成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8E9F18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）结果运用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​</w:t>
      </w:r>
    </w:p>
    <w:p w14:paraId="4B3E7E7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结果作为县委、县政府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增加工作经费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的核心依据，获奖单位在项目资金分配、政策倾斜等方面优先保障；同时作为领导班子和领导干部综合考核评价、奖惩任免、评优晋升的重要参考。</w:t>
      </w:r>
    </w:p>
    <w:p w14:paraId="44027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四、评价内容及评分标准（总分100分） </w:t>
      </w:r>
    </w:p>
    <w:p w14:paraId="36B5E8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（一）加分项（100分）</w:t>
      </w:r>
    </w:p>
    <w:p w14:paraId="6295328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1.培育限上商贸流通企业（50分）。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支持各镇加大骨干商贸流通企业培育力度，对符合条件的新增批发、零售、住宿、餐饮企业（个体）给予相应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得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分。每培育1户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限上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批发企业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得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20分；每培育1户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限上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零售企业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得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15分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（除电商企业以外）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；每培育1户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限上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住宿、餐饮企业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得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10分；每培育1户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限上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零售、住宿、餐饮大个体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得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5分。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（上限50分）</w:t>
      </w:r>
    </w:p>
    <w:p w14:paraId="045F35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2.大力培育电商市场主体（20分）。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鼓励传统商贸企业数字化转型，培育壮大电商主体，结合各镇农产品特色，积极开展农村电商促消费活动，提升线上销售规模。对网络交易额达到500万元，纳入国家统计名录库的，每户加20分。新入限企业同比增长≥10%的，每户加5分。</w:t>
      </w:r>
    </w:p>
    <w:p w14:paraId="1DD6EAD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3.立足特色推动商圈发展（30分）。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鼓励各镇结合各自地方特色优势，以历史文化、餐饮美食、文化创意、购物、旅游休闲等为主题，结合夜经济聚集区建设，打造各具特色、错位发展的特色商圈。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每新建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1户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大型农产品综合市场、农产品产地市场、集镇农贸市场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分别得10分；每发展一条美食街、商贸中心得10分；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积极参加县级及以上大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型促消费活动（如购物节、美食节等）1场得5分；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积极开展辖区内的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各类小型促消费活动1场得2分，累计不超过5分。</w:t>
      </w:r>
    </w:p>
    <w:p w14:paraId="1343750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（二）减分项（不设下限）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​</w:t>
      </w:r>
    </w:p>
    <w:p w14:paraId="781644B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项目引进造假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引进项目存在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“虚假签约”“数据造假”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的，每次扣5分；导致项目烂尾或资金浪费的，每次扣8分，并取消年度评优资格。</w:t>
      </w:r>
    </w:p>
    <w:p w14:paraId="4BE0674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入限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企业退库：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本年度新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入限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企业在次年因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销售额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不达标、数据异常等原因退库的，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扣除相应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分（不可抗力因素除外）。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库内每年减少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批发企业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；库内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零售企业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；库内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住宿、餐饮企业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；库内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年减少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零售、住宿、餐饮大个体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305254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企业投诉（每次扣2分）：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因服务不到位、政策落实滞后等导致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企业有效投诉（经信访部门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反馈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）的，每次扣2分。</w:t>
      </w:r>
    </w:p>
    <w:p w14:paraId="49B92DF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评价结果运用</w:t>
      </w:r>
    </w:p>
    <w:p w14:paraId="1904B03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（一）表彰奖励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​</w:t>
      </w:r>
    </w:p>
    <w:p w14:paraId="2974D27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根据年度综合得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分≥90分，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工作经费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元，主要负责人年度考核优先定为优秀等次。综合得分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80-89分，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增</w:t>
      </w:r>
      <w:r>
        <w:rPr>
          <w:rFonts w:hint="eastAsia" w:ascii="Times New Roman" w:hAnsi="Times New Roman" w:eastAsia="仿宋_GB2312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>加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>工作经费</w:t>
      </w:r>
      <w:r>
        <w:rPr>
          <w:rFonts w:hint="eastAsia" w:ascii="Times New Roman" w:hAnsi="Times New Roman" w:eastAsia="仿宋_GB2312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  <w:highlight w:val="none"/>
          <w:lang w:val="en-US" w:eastAsia="zh-CN"/>
        </w:rPr>
        <w:t>万元。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>综合得分70-79分，</w:t>
      </w:r>
      <w:r>
        <w:rPr>
          <w:rFonts w:hint="eastAsia" w:ascii="Times New Roman" w:hAnsi="Times New Roman" w:eastAsia="仿宋_GB2312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>增加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>工作经费</w:t>
      </w:r>
      <w:r>
        <w:rPr>
          <w:rFonts w:hint="eastAsia" w:ascii="Times New Roman" w:hAnsi="Times New Roman" w:eastAsia="仿宋_GB2312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highlight w:val="none"/>
          <w:lang w:val="en-US" w:eastAsia="zh-CN"/>
        </w:rPr>
        <w:t>万元。​</w:t>
      </w:r>
    </w:p>
    <w:p w14:paraId="282AF1C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（二）惩处措施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​</w:t>
      </w:r>
    </w:p>
    <w:p w14:paraId="03B9560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乡镇年度综合得分低于60分或排名末两位，各削减工作经费5万元、3万元；连续两年排名末两位，扣减乡村振兴项目资金分配额度10%。</w:t>
      </w:r>
    </w:p>
    <w:p w14:paraId="777A3E4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六、附则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​</w:t>
      </w:r>
    </w:p>
    <w:p w14:paraId="2D7A600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因不可抗力因素导致指标未完成，可按规定提交材料申请减免扣分。本办法中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数据为企业通过国家统计联网直报平台报送的数据，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年度增速目标、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入限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企业数量目标每年年初更新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，需要调整时，根据县政府确定目标进行调整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本办法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自印发之日起施行。</w:t>
      </w:r>
    </w:p>
    <w:p w14:paraId="72B994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C565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3099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DED3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DED3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97C96"/>
    <w:rsid w:val="046643CE"/>
    <w:rsid w:val="07E01DA1"/>
    <w:rsid w:val="082779ED"/>
    <w:rsid w:val="0D70006B"/>
    <w:rsid w:val="0EB21FBD"/>
    <w:rsid w:val="10300C30"/>
    <w:rsid w:val="178D5376"/>
    <w:rsid w:val="22B12860"/>
    <w:rsid w:val="235862E6"/>
    <w:rsid w:val="23A65007"/>
    <w:rsid w:val="23ED3D6C"/>
    <w:rsid w:val="28846321"/>
    <w:rsid w:val="2A197C96"/>
    <w:rsid w:val="36F079A3"/>
    <w:rsid w:val="37144D14"/>
    <w:rsid w:val="3D0C0967"/>
    <w:rsid w:val="44FA48CF"/>
    <w:rsid w:val="47813074"/>
    <w:rsid w:val="52045C59"/>
    <w:rsid w:val="52720E14"/>
    <w:rsid w:val="52A6535A"/>
    <w:rsid w:val="58FA7DB6"/>
    <w:rsid w:val="5FB84454"/>
    <w:rsid w:val="61811074"/>
    <w:rsid w:val="666373BC"/>
    <w:rsid w:val="763444AF"/>
    <w:rsid w:val="798E3ED6"/>
    <w:rsid w:val="7C2A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1778</Words>
  <Characters>1827</Characters>
  <Lines>0</Lines>
  <Paragraphs>0</Paragraphs>
  <TotalTime>0</TotalTime>
  <ScaleCrop>false</ScaleCrop>
  <LinksUpToDate>false</LinksUpToDate>
  <CharactersWithSpaces>1832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2025-10-24T07:11:00Z</dcterms:created>
  <dc:creator>倾城</dc:creator>
  <cp:lastModifiedBy>既宅又腐前途未卜</cp:lastModifiedBy>
  <cp:lastPrinted>2025-10-28T02:13:00Z</cp:lastPrinted>
  <dcterms:modified xsi:type="dcterms:W3CDTF">2025-11-06T02:00:09Z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BAD5555C1CB14918AC9A8DA68E26F139_11</vt:lpwstr>
  </property>
  <property fmtid="{D5CDD505-2E9C-101B-9397-08002B2CF9AE}" pid="4" name="KSOTemplateDocerSaveRecord">
    <vt:lpwstr>eyJoZGlkIjoiMWNlMGMxNTJhMjU1MjlmZTMwZjJhNzVhZjY0NDQzYjEiLCJ1c2VySWQiOiIyMzkyMDkyMTcifQ==</vt:lpwstr>
  </property>
</Properties>
</file>