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关于《张掖市坚持“四水四定”强化水资源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刚性约束十项措施》的</w:t>
      </w:r>
      <w:r>
        <w:rPr>
          <w:rFonts w:hint="eastAsia" w:ascii="方正小标宋简体" w:hAnsi="方正小标宋简体" w:eastAsia="方正小标宋简体" w:cs="方正小标宋简体"/>
          <w:sz w:val="44"/>
          <w:szCs w:val="44"/>
          <w:lang w:val="en-US" w:eastAsia="zh-CN"/>
        </w:rPr>
        <w:t>贯彻落实意见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2025年9月1日，张掖市人民政府办公室印发了《张掖市坚持“四水四定”强化水资源刚性约束十项措施》（以下简称《十项措施》），从“</w:t>
      </w:r>
      <w:r>
        <w:rPr>
          <w:rFonts w:hint="eastAsia" w:ascii="仿宋_GB2312" w:hAnsi="仿宋_GB2312" w:eastAsia="仿宋_GB2312" w:cs="仿宋_GB2312"/>
          <w:b/>
          <w:bCs/>
          <w:sz w:val="32"/>
          <w:szCs w:val="32"/>
          <w:lang w:val="en-US" w:eastAsia="zh-CN"/>
        </w:rPr>
        <w:t>严格用水总量控制、严控新增耕地、合理布局产业结构、科学推进国土绿化、强化地下水超采治理、建立地下水超采区水位约束机制、实行超采区取水许可提级审批、严格落实重点领域用水定额管控、加强水行政执法力度、推进水权市场化交易”</w:t>
      </w:r>
      <w:r>
        <w:rPr>
          <w:rFonts w:hint="eastAsia" w:ascii="仿宋_GB2312" w:hAnsi="仿宋_GB2312" w:eastAsia="仿宋_GB2312" w:cs="仿宋_GB2312"/>
          <w:sz w:val="32"/>
          <w:szCs w:val="32"/>
          <w:lang w:val="en-US" w:eastAsia="zh-CN"/>
        </w:rPr>
        <w:t>十个方面提出了一系列刚性约束措施，</w:t>
      </w:r>
      <w:r>
        <w:rPr>
          <w:rFonts w:hint="eastAsia" w:ascii="仿宋_GB2312" w:hAnsi="仿宋_GB2312" w:eastAsia="仿宋_GB2312" w:cs="仿宋_GB2312"/>
          <w:sz w:val="32"/>
          <w:szCs w:val="32"/>
          <w:lang w:eastAsia="zh-CN"/>
        </w:rPr>
        <w:t>是市委、市政府对实行最严格水资源管理制度作出的全面部署和具体安排，</w:t>
      </w:r>
      <w:r>
        <w:rPr>
          <w:rFonts w:hint="eastAsia" w:ascii="仿宋_GB2312" w:hAnsi="仿宋_GB2312" w:eastAsia="仿宋_GB2312" w:cs="仿宋_GB2312"/>
          <w:sz w:val="32"/>
          <w:szCs w:val="32"/>
          <w:lang w:val="en-US" w:eastAsia="zh-CN"/>
        </w:rPr>
        <w:t>为全市水资源集约节约利用提出了明确要求和方向，为水资源的安全高效可持续利用提供了根本遵循。为切实将市委、市政府关于水资源刚性约束的各项要求转化为我县的具体行动，结合我县实际，提出以下贯彻落实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要</w:t>
      </w:r>
      <w:r>
        <w:rPr>
          <w:rFonts w:hint="eastAsia" w:ascii="楷体_GB2312" w:hAnsi="楷体_GB2312" w:eastAsia="楷体_GB2312" w:cs="楷体_GB2312"/>
          <w:b/>
          <w:bCs/>
          <w:sz w:val="32"/>
          <w:szCs w:val="32"/>
        </w:rPr>
        <w:t>提高政治站位，</w:t>
      </w:r>
      <w:r>
        <w:rPr>
          <w:rFonts w:hint="eastAsia" w:ascii="楷体_GB2312" w:hAnsi="楷体_GB2312" w:eastAsia="楷体_GB2312" w:cs="楷体_GB2312"/>
          <w:b/>
          <w:bCs/>
          <w:sz w:val="32"/>
          <w:szCs w:val="32"/>
          <w:lang w:eastAsia="zh-CN"/>
        </w:rPr>
        <w:t>扛牢管水</w:t>
      </w:r>
      <w:r>
        <w:rPr>
          <w:rFonts w:hint="eastAsia" w:ascii="楷体_GB2312" w:hAnsi="楷体_GB2312" w:eastAsia="楷体_GB2312" w:cs="楷体_GB2312"/>
          <w:b/>
          <w:bCs/>
          <w:sz w:val="32"/>
          <w:szCs w:val="32"/>
        </w:rPr>
        <w:t>责任。</w:t>
      </w:r>
      <w:r>
        <w:rPr>
          <w:rFonts w:hint="eastAsia" w:ascii="仿宋_GB2312" w:hAnsi="仿宋_GB2312" w:eastAsia="仿宋_GB2312" w:cs="仿宋_GB2312"/>
          <w:sz w:val="32"/>
          <w:szCs w:val="32"/>
          <w:lang w:val="en-US" w:eastAsia="zh-CN"/>
        </w:rPr>
        <w:t>坚持“四水四定”强化水资源刚性约束是破除水资源瓶颈制约的根本途径，是保障国家粮食安全的关键环节，是加快推进生态文明建设的迫切需要，全县各级各部门要深入学习贯彻习近平生态文明思想，全面贯彻落实习近平总书记关于治水的重要论述和视察甘肃重要讲话重要指示精神，全方位贯彻“四水四定”原则，认真执行“十项措施”，进一步强化水资源刚性约束，着力提高水资源节约集约利用水平，</w:t>
      </w:r>
      <w:r>
        <w:rPr>
          <w:rFonts w:hint="eastAsia" w:ascii="仿宋_GB2312" w:hAnsi="仿宋_GB2312" w:eastAsia="仿宋_GB2312" w:cs="仿宋_GB2312"/>
          <w:sz w:val="32"/>
          <w:szCs w:val="32"/>
          <w:lang w:eastAsia="zh-CN"/>
        </w:rPr>
        <w:t>让有限的水资源惠及全县人民，</w:t>
      </w:r>
      <w:r>
        <w:rPr>
          <w:rFonts w:hint="eastAsia" w:ascii="仿宋_GB2312" w:hAnsi="仿宋_GB2312" w:eastAsia="仿宋_GB2312" w:cs="仿宋_GB2312"/>
          <w:sz w:val="32"/>
          <w:szCs w:val="32"/>
          <w:lang w:val="en-US" w:eastAsia="zh-CN"/>
        </w:rPr>
        <w:t>为全县高质量发展提供坚实水资源保障。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二要加强部门协作，凝聚工作合力。</w:t>
      </w:r>
      <w:r>
        <w:rPr>
          <w:rFonts w:hint="eastAsia" w:ascii="仿宋_GB2312" w:hAnsi="仿宋_GB2312" w:eastAsia="仿宋_GB2312" w:cs="仿宋_GB2312"/>
          <w:sz w:val="32"/>
          <w:szCs w:val="32"/>
          <w:lang w:eastAsia="zh-CN"/>
        </w:rPr>
        <w:t>要将《十项措</w:t>
      </w:r>
      <w:r>
        <w:rPr>
          <w:rFonts w:hint="eastAsia" w:ascii="仿宋_GB2312" w:hAnsi="仿宋_GB2312" w:eastAsia="仿宋_GB2312" w:cs="仿宋_GB2312"/>
          <w:sz w:val="32"/>
          <w:szCs w:val="32"/>
        </w:rPr>
        <w:t>施》</w:t>
      </w:r>
      <w:r>
        <w:rPr>
          <w:rFonts w:hint="eastAsia" w:ascii="仿宋_GB2312" w:hAnsi="仿宋_GB2312" w:eastAsia="仿宋_GB2312" w:cs="仿宋_GB2312"/>
          <w:sz w:val="32"/>
          <w:szCs w:val="32"/>
          <w:lang w:val="en-US" w:eastAsia="zh-CN"/>
        </w:rPr>
        <w:t>重点任务进行细化分解，</w:t>
      </w:r>
      <w:r>
        <w:rPr>
          <w:rFonts w:hint="eastAsia" w:ascii="仿宋_GB2312" w:hAnsi="仿宋_GB2312" w:eastAsia="仿宋_GB2312" w:cs="仿宋_GB2312"/>
          <w:sz w:val="32"/>
          <w:szCs w:val="32"/>
          <w:lang w:eastAsia="zh-CN"/>
        </w:rPr>
        <w:t>明确“干什么、谁来干、怎么干”，</w:t>
      </w:r>
      <w:r>
        <w:rPr>
          <w:rFonts w:hint="eastAsia" w:ascii="仿宋_GB2312" w:hAnsi="仿宋_GB2312" w:eastAsia="仿宋_GB2312" w:cs="仿宋_GB2312"/>
          <w:sz w:val="32"/>
          <w:szCs w:val="32"/>
        </w:rPr>
        <w:t>层层压实</w:t>
      </w:r>
      <w:r>
        <w:rPr>
          <w:rFonts w:hint="eastAsia" w:ascii="仿宋_GB2312" w:hAnsi="仿宋_GB2312" w:eastAsia="仿宋_GB2312" w:cs="仿宋_GB2312"/>
          <w:sz w:val="32"/>
          <w:szCs w:val="32"/>
          <w:lang w:eastAsia="zh-CN"/>
        </w:rPr>
        <w:t>工作责任。</w:t>
      </w:r>
      <w:r>
        <w:rPr>
          <w:rFonts w:hint="eastAsia" w:ascii="仿宋_GB2312" w:hAnsi="仿宋_GB2312" w:eastAsia="仿宋_GB2312" w:cs="仿宋_GB2312"/>
          <w:sz w:val="32"/>
          <w:szCs w:val="32"/>
        </w:rPr>
        <w:t>各牵头单位要切实发挥牵头抓总、统筹协调作用，对分解任务逐项研究，完善措施办法，制定工作计划，推动各项任务落实落地、见行见效。各责任单位要主动认领任务，加强与牵头单位的衔接沟通，不断形成积极作为、协同推进、上下联动、齐抓共管的工作格局。各部门单位要主动对接任务指标，</w:t>
      </w:r>
      <w:r>
        <w:rPr>
          <w:rFonts w:hint="eastAsia" w:ascii="仿宋_GB2312" w:hAnsi="仿宋_GB2312" w:eastAsia="仿宋_GB2312" w:cs="仿宋_GB2312"/>
          <w:sz w:val="32"/>
          <w:szCs w:val="32"/>
          <w:lang w:eastAsia="zh-CN"/>
        </w:rPr>
        <w:t>采取务实举措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形成同题共答、同频共振工作合力，推动水资源管理工作不断取得新成效。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要</w:t>
      </w:r>
      <w:r>
        <w:rPr>
          <w:rFonts w:hint="eastAsia" w:ascii="楷体_GB2312" w:hAnsi="楷体_GB2312" w:eastAsia="楷体_GB2312" w:cs="楷体_GB2312"/>
          <w:b/>
          <w:bCs/>
          <w:sz w:val="32"/>
          <w:szCs w:val="32"/>
        </w:rPr>
        <w:t>紧盯目标任务，推进超采治理。</w:t>
      </w:r>
      <w:r>
        <w:rPr>
          <w:rFonts w:hint="eastAsia" w:ascii="仿宋_GB2312" w:hAnsi="仿宋_GB2312" w:eastAsia="仿宋_GB2312" w:cs="仿宋_GB2312"/>
          <w:kern w:val="0"/>
          <w:sz w:val="32"/>
          <w:szCs w:val="32"/>
          <w:lang w:val="en-US" w:eastAsia="zh-CN" w:bidi="ar"/>
        </w:rPr>
        <w:t>要守牢3500万立方米地下水取水总量和水位控降目标，合理规划水资源，</w:t>
      </w:r>
      <w:r>
        <w:rPr>
          <w:rFonts w:hint="eastAsia" w:ascii="仿宋_GB2312" w:hAnsi="仿宋_GB2312" w:eastAsia="仿宋_GB2312" w:cs="仿宋_GB2312"/>
          <w:sz w:val="32"/>
          <w:szCs w:val="32"/>
        </w:rPr>
        <w:t>严格按照《十项措施》</w:t>
      </w:r>
      <w:r>
        <w:rPr>
          <w:rFonts w:hint="eastAsia" w:ascii="仿宋_GB2312" w:hAnsi="仿宋_GB2312" w:eastAsia="仿宋_GB2312" w:cs="仿宋_GB2312"/>
          <w:sz w:val="32"/>
          <w:szCs w:val="32"/>
          <w:lang w:val="en-US" w:eastAsia="zh-CN"/>
        </w:rPr>
        <w:t>超采区治理要求，</w:t>
      </w:r>
      <w:r>
        <w:rPr>
          <w:rFonts w:hint="eastAsia" w:ascii="仿宋_GB2312" w:hAnsi="仿宋_GB2312" w:eastAsia="仿宋_GB2312" w:cs="仿宋_GB2312"/>
          <w:sz w:val="32"/>
          <w:szCs w:val="32"/>
        </w:rPr>
        <w:t>压实地下水保护和超采治理主体责任，将指标细化分解到基层</w:t>
      </w:r>
      <w:r>
        <w:rPr>
          <w:rFonts w:hint="eastAsia" w:ascii="仿宋_GB2312" w:hAnsi="仿宋_GB2312" w:eastAsia="仿宋_GB2312" w:cs="仿宋_GB2312"/>
          <w:sz w:val="32"/>
          <w:szCs w:val="32"/>
          <w:lang w:val="en-US" w:eastAsia="zh-CN"/>
        </w:rPr>
        <w:t>水管单位</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严格审批、分区管控、以电折水、以水定电”</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
        </w:rPr>
        <w:t>采取“置换减量、节水降量、回灌补量、关井压量、管理控量”等措施，</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en-US" w:eastAsia="zh-CN"/>
        </w:rPr>
        <w:t>用水过程管控，</w:t>
      </w:r>
      <w:r>
        <w:rPr>
          <w:rFonts w:hint="eastAsia" w:ascii="仿宋_GB2312" w:hAnsi="仿宋_GB2312" w:eastAsia="仿宋_GB2312" w:cs="仿宋_GB2312"/>
          <w:sz w:val="32"/>
          <w:szCs w:val="32"/>
        </w:rPr>
        <w:t>优化农业种植结构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严控高耗水作物种植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加大地下水超采综合治理力度，</w:t>
      </w:r>
      <w:r>
        <w:rPr>
          <w:rFonts w:hint="eastAsia" w:ascii="仿宋_GB2312" w:hAnsi="仿宋_GB2312" w:eastAsia="仿宋_GB2312" w:cs="仿宋_GB2312"/>
          <w:sz w:val="32"/>
          <w:szCs w:val="32"/>
        </w:rPr>
        <w:t>坚决遏制不合理用水需求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逐步实现地下水采补平衡，努力改善水生态环境。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四要强化刚性约束，严格取水审批。</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加强重大规划和建设项目水资源论证</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已获批未开工项目依法依规进行水资源承载能力复核，从源头上杜绝新增不合理用水行为。不折不扣执行超采区取水许可提级审批规定，严禁违规审批新增取水项目。超采区内暂停审批新增地下水建设项目，严禁审批新建、扩建、改建高耗水项目。</w:t>
      </w:r>
      <w:r>
        <w:rPr>
          <w:rFonts w:hint="eastAsia" w:ascii="仿宋_GB2312" w:hAnsi="仿宋_GB2312" w:eastAsia="仿宋_GB2312" w:cs="仿宋_GB2312"/>
          <w:sz w:val="32"/>
          <w:szCs w:val="32"/>
          <w:lang w:val="en-US" w:eastAsia="zh-CN"/>
        </w:rPr>
        <w:t>严控新增耕地，严厉</w:t>
      </w:r>
      <w:r>
        <w:rPr>
          <w:rFonts w:hint="eastAsia" w:ascii="仿宋_GB2312" w:hAnsi="仿宋_GB2312" w:eastAsia="仿宋_GB2312" w:cs="仿宋_GB2312"/>
          <w:sz w:val="32"/>
          <w:szCs w:val="32"/>
        </w:rPr>
        <w:t>打击非法开荒取水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深入开展水资源领域突出问题专项执法行动，建立水行政联合执法机制，强化以案示警，坚决纠治违规取用水等违法行为和突出问题，规范取用水管理秩序。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五要建立长效机制，提升利用水平。</w:t>
      </w:r>
      <w:r>
        <w:rPr>
          <w:rFonts w:hint="eastAsia" w:ascii="仿宋_GB2312" w:hAnsi="仿宋_GB2312" w:eastAsia="仿宋_GB2312" w:cs="仿宋_GB2312"/>
          <w:sz w:val="32"/>
          <w:szCs w:val="32"/>
          <w:lang w:val="en-US" w:eastAsia="zh-CN"/>
        </w:rPr>
        <w:t>要坚持节约优先、高效利用水资源，研发推广节水技术，更新改造节水设备，扎实推进农业节水增效、工业节水减排、城镇节水降损、生态节水控水，完善全领域、全环节、全过程节水控水长效机制。要坚持数字赋能、全程监管水资源，结合数字孪生水利建设，有序推进水资源监测感知夯基提能，完善取用水监测计量体系，强化取用水全环节监管，提高水资源管理智能化、精准化水平。要坚持改革牵引、整合盘活水资源，开展水权交易，拓展水利投融资渠道，深化水利工程建设与管理改革，确保水利工程发挥最大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六要强化督导检查，确保取得实效。</w:t>
      </w:r>
      <w:r>
        <w:rPr>
          <w:rFonts w:hint="eastAsia" w:ascii="仿宋_GB2312" w:hAnsi="仿宋_GB2312" w:eastAsia="仿宋_GB2312" w:cs="仿宋_GB2312"/>
          <w:sz w:val="32"/>
          <w:szCs w:val="32"/>
          <w:lang w:val="en-US" w:eastAsia="zh-CN"/>
        </w:rPr>
        <w:t>坚持高站位部署、高标准谋划、高质量推进，建立健全《十项规定》贯彻落实机制，按照清单化、项目化、台账化落实重点任务。大力弘扬求真务实、真抓实干的工作作风，将任务落实到基层一线，指标下达到水管单位，脚踏实地抓好目标任务落实，以钉钉子精神一抓到底，形成责任闭环，推动各项工作落地落实。以问题为导向强化督导检查，确保各项工作取得扎实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sz w:val="32"/>
          <w:szCs w:val="32"/>
        </w:rPr>
        <w:t>《民乐县贯彻落实〈张掖市坚持“四水四定”强化水资源刚性约束十项措施〉任务分解方案》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民乐县贯彻落实</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张掖市坚持“四水四定”强化水资源刚性约束十项措施》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任务分解方案</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ascii="仿宋_GB2312" w:hAnsi="Calibri" w:eastAsia="仿宋_GB2312" w:cs="仿宋_GB2312"/>
          <w:i w:val="0"/>
          <w:iCs w:val="0"/>
          <w:caps w:val="0"/>
          <w:color w:val="000000"/>
          <w:spacing w:val="0"/>
          <w:sz w:val="31"/>
          <w:szCs w:val="31"/>
          <w:vertAlign w:val="baseline"/>
        </w:rPr>
      </w:pP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1"/>
          <w:szCs w:val="31"/>
          <w:vertAlign w:val="baseline"/>
        </w:rPr>
        <w:t>为深入贯彻落实习近平总书记</w:t>
      </w:r>
      <w:r>
        <w:rPr>
          <w:rFonts w:hint="eastAsia" w:ascii="仿宋_GB2312" w:hAnsi="Calibri" w:eastAsia="仿宋_GB2312" w:cs="仿宋_GB2312"/>
          <w:i w:val="0"/>
          <w:iCs w:val="0"/>
          <w:caps w:val="0"/>
          <w:color w:val="000000"/>
          <w:spacing w:val="0"/>
          <w:sz w:val="31"/>
          <w:szCs w:val="31"/>
          <w:vertAlign w:val="baseline"/>
        </w:rPr>
        <w:t>“节水优先、空间均衡、系统治理、两手发力”的治水思路和关于治水的重要论述精神，坚持“四水四定”，落实《张掖市坚持“四水四定”强化水资源刚性约束十项措施》，聚力打造新时代全国节水型社会建设新标杆，着力解决水资源方面存在的突出问题，现将重点任务分解如下：</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1"/>
          <w:szCs w:val="31"/>
          <w:vertAlign w:val="baseline"/>
        </w:rPr>
        <w:t>一、</w:t>
      </w:r>
      <w:r>
        <w:rPr>
          <w:rFonts w:hint="default" w:ascii="黑体" w:hAnsi="宋体" w:eastAsia="黑体" w:cs="黑体"/>
          <w:i w:val="0"/>
          <w:iCs w:val="0"/>
          <w:caps w:val="0"/>
          <w:color w:val="000000"/>
          <w:spacing w:val="0"/>
          <w:sz w:val="31"/>
          <w:szCs w:val="31"/>
          <w:vertAlign w:val="baseline"/>
        </w:rPr>
        <w:t>严格用水总量控制</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1.坚持分级分区管控用水总量，将用水总量控制指标落实到灌区、乡镇和各用水单元。</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各镇，工业园区管委会，各水管单位</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2.实行水预算管理，合理配置生活、农业、工业和生态用水。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县农业农村局、县工信和商务局、县住房和城乡建设局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3.严格水预算审计，水预算审计结果作为县区政府领导干部综合考核评价的重要依据。</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县审计局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县委办、县政府办、县委组织部</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4.实行最严格水资源管理制度考核，将水预算执行情况纳入经济社会发展综合绩效评价和党政履责“督考一体化”平台进行考核。</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县委组织部</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县委办、县政府办</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二、严控新增耕地</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5.农业生产布局应充分考虑水资源条件，严禁新增耕地，不得布局耕地后备资源开发项目。</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县自然资源局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6.地下水超采区和用水总量超标县区禁止实施占补平衡、戈壁农业等项目。</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县自然资源局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各镇，工业园区管委会，县农业农村局、县水务局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7.严厉打击各类违法开荒行为，坚决杜绝违规为开荒新增耕地供水的行为。</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县自然资源局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8.对永久基本农田以外的一般耕地实行周期性休耕，县财政配套一定比例资金，对轮作和休耕耕地给予必要补助。</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县农业农村局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县财政局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9.限制高耗水作物种植并逐年压缩面积，引导群众调整种植结构，构建与水资源承载能力相适应的产业结构。</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县农业农村局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三、合理布局产业结构</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10.强化水资源水环境承载力约束，根据可用水量，合理布局产业与规模，重大产业、项目布局以及各类开发区、新区规划应进行规划水资源论证，将水资源作为约束性条件调整产业布局，优先满足保障国家安全、列入国家规划的战略性项目用水需求。</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县发展和改革局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县水务局、县农业农村局、县工信和商务局、县住建、市生态环境局民乐分局、县林草局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11.严格执行水资源利用负面清单。</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县发展和改革局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县水务局、县农业农村局、县工信和商务局、县住建、市生态环境局民乐分局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12.严格执行建设项目水资源论证制度，审批建设项目取水许可必须开展水资源论证并由水行政主管部门审查。</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县发展和改革局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工业园区管委会，县水务局、县自然资源局、县工信和商务局、县住房和城乡建设局、县农业农村局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13.严格取水许可管理，健全完善取水许可制度，对应纳入取水许可管理范围的取水单位和个人，全面依法实施取水许可。</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县工信和商务局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工业园区管委会，县农业农村局、县工信和商务局、县住房和城乡建设局，各水管单位</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14.从严控制洗浴、洗车、人工滑雪场、洗涤等高耗水服务业用水，鼓励洗车、人工滑雪场等特种行业全面推广低耗水、循环用水等节水技术工艺，优先利用再生水等非常规水源，限制使用地下水。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县工信和商务局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工业园区管委会，县市场监管局、县住建局、县水务局、县文体广电和旅游局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15.推动餐饮、娱乐、宾馆等服务性企业实施节水型器具和设备改造，逐步淘汰耗水高的用水器具和设备。</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县工信和商务局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县市场监管局、县住建局县、县文体广电和旅游局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四、科学推进国土绿化</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16.国土绿化要充分考虑水资源承载能力，以雨养、节水为导向，以恢复灌草植被为主，推广乔灌草结合的绿化模式，合理配置林草植被类型和密度。</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县林草局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各镇，工业园区管委会，县水务局、县住建局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17.城镇绿化要选用耐早型植物。</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县住建局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各镇，工业园区管委会，县林草局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18.统筹安排公益林灌溉用水。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各镇，工业园区管委会，县林草局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19.合理配置绿化用水，优先使用符合标准的再生水、雨水、矿井水。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工业园区管委会，县林草局、县住房和城乡建设局、市生态环境局民乐分局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20.推广绿化节水灌溉。</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县林草局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工业园区管委会，县住房和城乡建设局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21.将海绵城市建设理念融入规划，建立雨水调蓄池，推动雨污分流改造，提升雨水集蓄利用能力。</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县住建局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县发改局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22.严禁脱离实际建造人工湖、人造水景观，禁止将地下水、生活饮用水作为景观河、人工湖用水。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县发改局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各镇，工业园区管委会，县住建局、县水务局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五、强化地下水超采治理</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23.县人民政府是地下水超采区治理的责任主体，主要负责同志是第一责任人，要严格落实超采区治理专项规划，压实超采治理目标和任务措施，推动地下水超采综合治理落地见效。</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县政府办</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各镇，工业园区管委会，县水务局、县自然资源局、市生态环境局民乐分局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24.在地下水限制开采区，不得新增取用地下水。在地下水禁止开采区，严禁取用地下水。已有的机井制定关闭方案，有序退出。除特殊干早年份及重大突发事件外，不得动用储备地下水。</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工业园区管委会，县自然资源局、市生态环境局民乐分局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六、建立地下水超采区水位约束机制</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25.压实地下水保护和超采治理主体责任，严格控制地下水位降幅，对超采区地下水位“近三年滑动累计水位变幅”下降超1米的进行约谈。</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县政府办</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工业园区管委会，县水务局、县自然资源局、市生态环境局民乐分局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七、落实超采区取水许可提级审批</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26.严控超采区涉水项目准入，提级审批超采区新增取水的取水许可，将超采区地下水取水审批权限由县级审批的提至市级。</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县发改局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工业园区管委会，县水务局、县工信和商务局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27.超采区内暂停审批新增地下水建设项目，严禁审批新建、扩建、改建高耗水项目。</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县发改局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工业园区管委会，县水务局、县农业农村局、县工信和商务局、县自然资源局、县住房和城乡建设局、市生态环境局民乐分局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28.加强重大规划和建设项目水资源论证，已获批未开工项目依法依规进行水资源承载能力复核，从源头上杜绝新增不合理用水行为。</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工业园区管委会，县发改局、县农业农村局、县工信和商务局、县住房和城乡建设局、县自然资源局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八、严格落实重点领域用水定额管控</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29.严控地下水超采区农业灌溉，加强计划用水管理，严格用水定额。</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30.加快工业节水减排。</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县工信和商务局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工业园区管委会，县水务局、市生态环境局民乐分局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31.加强城镇节水降损，加大非常规水利用。</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县住房和城乡建设局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各镇，工业园区管委会，市生态环境局民乐分局、县水务局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32.在地下水超采区开展违规取用地下水问题专项整治和计量设施安装核查，实现计量设施全覆盖；严厉打击破坏计量设施行为，对存在超计划超定额用水、节水不达标等问题的取用水单位责令整改。</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县农业农村局、县工信和商务局、县住房和城乡建设局</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九、加强水行政执法力度</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33.深入开展水资源领域突出问题专项执法行动，强化以案示警，扩大执法效果。建立水行政联合执法机制，组织开展常态化联合水行政执法，坚决纠治违规取用水等违法行为和突出问题。</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县自然资源局、市生态环境局民乐分局</w:t>
      </w:r>
    </w:p>
    <w:p>
      <w:pPr>
        <w:pStyle w:val="5"/>
        <w:keepNext w:val="0"/>
        <w:keepLines w:val="0"/>
        <w:widowControl/>
        <w:suppressLineNumbers w:val="0"/>
        <w:spacing w:before="0" w:beforeAutospacing="0" w:after="0" w:afterAutospacing="0" w:line="560" w:lineRule="exact"/>
        <w:ind w:left="0" w:right="0" w:firstLine="620" w:firstLineChars="2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34.完善水行政执法与刑事司法衔接、水行政执法与检察公益诉讼协作机制，强化过程动态监管，规范取用水管理秩序。</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县公安局、县检察院、县法院</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default" w:ascii="黑体" w:hAnsi="宋体" w:eastAsia="黑体" w:cs="黑体"/>
          <w:i w:val="0"/>
          <w:iCs w:val="0"/>
          <w:caps w:val="0"/>
          <w:color w:val="000000"/>
          <w:spacing w:val="0"/>
          <w:sz w:val="31"/>
          <w:szCs w:val="31"/>
          <w:vertAlign w:val="baseline"/>
        </w:rPr>
        <w:t>十、推进水权市场化交易</w:t>
      </w:r>
    </w:p>
    <w:p>
      <w:pPr>
        <w:pStyle w:val="5"/>
        <w:keepNext w:val="0"/>
        <w:keepLines w:val="0"/>
        <w:widowControl/>
        <w:suppressLineNumbers w:val="0"/>
        <w:spacing w:before="0" w:beforeAutospacing="0" w:after="0" w:afterAutospacing="0" w:line="560" w:lineRule="exact"/>
        <w:ind w:left="0" w:right="0" w:firstLine="620" w:firstLineChars="200"/>
        <w:jc w:val="both"/>
        <w:textAlignment w:val="baseline"/>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vertAlign w:val="baseline"/>
        </w:rPr>
        <w:t>35.健全完善水资源交易制度，取用水达到或超过可用水量时，应通过水权交易满足新增用水需求。对水资源超载地区，除合理的新增生活用水需求，其他新增用水需求原则上应通过水权交易解决。</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工业园区管委会，县发改局、县农业农村局、县工信和商务局、县住房和城乡建设局、县自然资源局</w:t>
      </w:r>
    </w:p>
    <w:p>
      <w:pPr>
        <w:pStyle w:val="5"/>
        <w:keepNext w:val="0"/>
        <w:keepLines w:val="0"/>
        <w:widowControl/>
        <w:suppressLineNumbers w:val="0"/>
        <w:spacing w:before="0" w:beforeAutospacing="0" w:after="0" w:afterAutospacing="0" w:line="560" w:lineRule="exact"/>
        <w:ind w:left="0" w:right="0" w:firstLine="620" w:firstLineChars="2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36.推进区域水权、取水权、灌溉用水户水权、公共供水管网水权、水预算节余水量等水权交易，实现节约水量跨区域、跨行业流转，促进用水效率和效益提升。</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牵头单位：</w:t>
      </w:r>
      <w:r>
        <w:rPr>
          <w:rFonts w:hint="eastAsia" w:ascii="仿宋_GB2312" w:hAnsi="Calibri" w:eastAsia="仿宋_GB2312" w:cs="仿宋_GB2312"/>
          <w:i w:val="0"/>
          <w:iCs w:val="0"/>
          <w:caps w:val="0"/>
          <w:color w:val="000000"/>
          <w:spacing w:val="0"/>
          <w:sz w:val="31"/>
          <w:szCs w:val="31"/>
          <w:vertAlign w:val="baseline"/>
        </w:rPr>
        <w:t>县水务局</w:t>
      </w:r>
    </w:p>
    <w:p>
      <w:pPr>
        <w:pStyle w:val="5"/>
        <w:keepNext w:val="0"/>
        <w:keepLines w:val="0"/>
        <w:widowControl/>
        <w:suppressLineNumbers w:val="0"/>
        <w:spacing w:before="0" w:beforeAutospacing="0" w:after="0" w:afterAutospacing="0" w:line="560" w:lineRule="exact"/>
        <w:ind w:left="0" w:right="0" w:firstLine="622" w:firstLineChars="200"/>
        <w:jc w:val="both"/>
        <w:textAlignment w:val="baseline"/>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vertAlign w:val="baseline"/>
        </w:rPr>
        <w:t>责任单位：</w:t>
      </w:r>
      <w:r>
        <w:rPr>
          <w:rFonts w:hint="eastAsia" w:ascii="仿宋_GB2312" w:hAnsi="Calibri" w:eastAsia="仿宋_GB2312" w:cs="仿宋_GB2312"/>
          <w:i w:val="0"/>
          <w:iCs w:val="0"/>
          <w:caps w:val="0"/>
          <w:color w:val="000000"/>
          <w:spacing w:val="0"/>
          <w:sz w:val="31"/>
          <w:szCs w:val="31"/>
          <w:vertAlign w:val="baseline"/>
        </w:rPr>
        <w:t>县农业农村局、县工信和商务局、县住房和城乡建设局、县林草局、县自然资源局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D41F5"/>
    <w:rsid w:val="043B4C5B"/>
    <w:rsid w:val="082F4FAC"/>
    <w:rsid w:val="124D41F5"/>
    <w:rsid w:val="37BA39C5"/>
    <w:rsid w:val="40EC3B79"/>
    <w:rsid w:val="4B7E68B8"/>
    <w:rsid w:val="63AA7C22"/>
    <w:rsid w:val="699469CF"/>
    <w:rsid w:val="7C1578A7"/>
    <w:rsid w:val="7C302D02"/>
    <w:rsid w:val="7FA01ADC"/>
    <w:rsid w:val="F5BF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1746</Words>
  <Characters>1752</Characters>
  <Lines>0</Lines>
  <Paragraphs>0</Paragraphs>
  <TotalTime>2</TotalTime>
  <ScaleCrop>false</ScaleCrop>
  <LinksUpToDate>false</LinksUpToDate>
  <CharactersWithSpaces>1752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2025-10-16T14:57:00Z</dcterms:created>
  <dc:creator>穆砚君</dc:creator>
  <cp:lastModifiedBy>admin</cp:lastModifiedBy>
  <dcterms:modified xsi:type="dcterms:W3CDTF">2025-10-31T14:32:36Z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74EFBE30CB2E44C49612E2CA2C041DE7_11</vt:lpwstr>
  </property>
  <property fmtid="{D5CDD505-2E9C-101B-9397-08002B2CF9AE}" pid="4" name="KSOTemplateDocerSaveRecord">
    <vt:lpwstr>eyJoZGlkIjoiMWM4MmVkOTA1MjFjYzMwZWNmZGFhODliZDBjZWU4YWMiLCJ1c2VySWQiOiI2Nzk0NTIwNTcifQ==</vt:lpwstr>
  </property>
</Properties>
</file>