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110B6">
      <w:pPr>
        <w:keepNext w:val="0"/>
        <w:keepLines w:val="0"/>
        <w:pageBreakBefore w:val="0"/>
        <w:widowControl w:val="0"/>
        <w:kinsoku/>
        <w:wordWrap/>
        <w:overflowPunct w:val="0"/>
        <w:topLinePunct w:val="0"/>
        <w:autoSpaceDE w:val="0"/>
        <w:autoSpaceDN w:val="0"/>
        <w:bidi w:val="0"/>
        <w:adjustRightInd w:val="0"/>
        <w:snapToGrid/>
        <w:spacing w:before="101" w:line="530" w:lineRule="exact"/>
        <w:ind w:left="3223"/>
        <w:jc w:val="left"/>
        <w:textAlignment w:val="auto"/>
        <w:rPr>
          <w:rFonts w:hint="eastAsia" w:ascii="宋体" w:hAnsi="宋体" w:cs="宋体"/>
          <w:b/>
          <w:bCs/>
          <w:spacing w:val="-11"/>
          <w:position w:val="3"/>
          <w:sz w:val="43"/>
          <w:szCs w:val="43"/>
        </w:rPr>
      </w:pPr>
    </w:p>
    <w:p w14:paraId="3D5F22F6">
      <w:pPr>
        <w:keepNext w:val="0"/>
        <w:keepLines w:val="0"/>
        <w:pageBreakBefore w:val="0"/>
        <w:widowControl w:val="0"/>
        <w:kinsoku/>
        <w:wordWrap/>
        <w:overflowPunct w:val="0"/>
        <w:topLinePunct w:val="0"/>
        <w:autoSpaceDE w:val="0"/>
        <w:autoSpaceDN w:val="0"/>
        <w:bidi w:val="0"/>
        <w:adjustRightInd w:val="0"/>
        <w:snapToGrid/>
        <w:spacing w:before="101" w:line="530" w:lineRule="exact"/>
        <w:jc w:val="center"/>
        <w:textAlignment w:val="auto"/>
        <w:rPr>
          <w:rFonts w:hint="eastAsia" w:ascii="方正小标宋简体" w:hAnsi="方正小标宋简体" w:eastAsia="方正小标宋简体" w:cs="方正小标宋简体"/>
          <w:b w:val="0"/>
          <w:bCs w:val="0"/>
          <w:spacing w:val="-11"/>
          <w:position w:val="3"/>
          <w:sz w:val="44"/>
          <w:szCs w:val="44"/>
        </w:rPr>
      </w:pPr>
      <w:r>
        <w:rPr>
          <w:rFonts w:hint="eastAsia" w:ascii="方正小标宋简体" w:hAnsi="方正小标宋简体" w:eastAsia="方正小标宋简体" w:cs="方正小标宋简体"/>
          <w:b w:val="0"/>
          <w:bCs w:val="0"/>
          <w:spacing w:val="-11"/>
          <w:position w:val="3"/>
          <w:sz w:val="44"/>
          <w:szCs w:val="44"/>
        </w:rPr>
        <w:t>《</w:t>
      </w:r>
      <w:r>
        <w:rPr>
          <w:rFonts w:hint="eastAsia" w:ascii="方正小标宋简体" w:hAnsi="方正小标宋简体" w:eastAsia="方正小标宋简体" w:cs="方正小标宋简体"/>
          <w:b w:val="0"/>
          <w:bCs w:val="0"/>
          <w:spacing w:val="-11"/>
          <w:position w:val="3"/>
          <w:sz w:val="44"/>
          <w:szCs w:val="44"/>
          <w:lang w:eastAsia="zh-CN"/>
        </w:rPr>
        <w:t>民乐</w:t>
      </w:r>
      <w:r>
        <w:rPr>
          <w:rFonts w:hint="eastAsia" w:ascii="方正小标宋简体" w:hAnsi="方正小标宋简体" w:eastAsia="方正小标宋简体" w:cs="方正小标宋简体"/>
          <w:b w:val="0"/>
          <w:bCs w:val="0"/>
          <w:spacing w:val="-11"/>
          <w:position w:val="3"/>
          <w:sz w:val="44"/>
          <w:szCs w:val="44"/>
        </w:rPr>
        <w:t>县人民政府质量奖</w:t>
      </w:r>
      <w:r>
        <w:rPr>
          <w:rFonts w:hint="eastAsia" w:ascii="方正小标宋简体" w:hAnsi="方正小标宋简体" w:eastAsia="方正小标宋简体" w:cs="方正小标宋简体"/>
          <w:b w:val="0"/>
          <w:bCs w:val="0"/>
          <w:spacing w:val="-11"/>
          <w:position w:val="3"/>
          <w:sz w:val="44"/>
          <w:szCs w:val="44"/>
          <w:lang w:eastAsia="zh-CN"/>
        </w:rPr>
        <w:t>管理</w:t>
      </w:r>
      <w:r>
        <w:rPr>
          <w:rFonts w:hint="eastAsia" w:ascii="方正小标宋简体" w:hAnsi="方正小标宋简体" w:eastAsia="方正小标宋简体" w:cs="方正小标宋简体"/>
          <w:b w:val="0"/>
          <w:bCs w:val="0"/>
          <w:spacing w:val="-11"/>
          <w:position w:val="3"/>
          <w:sz w:val="44"/>
          <w:szCs w:val="44"/>
        </w:rPr>
        <w:t>办法》</w:t>
      </w:r>
    </w:p>
    <w:p w14:paraId="72F7765A">
      <w:pPr>
        <w:keepNext w:val="0"/>
        <w:keepLines w:val="0"/>
        <w:pageBreakBefore w:val="0"/>
        <w:widowControl w:val="0"/>
        <w:kinsoku/>
        <w:wordWrap/>
        <w:overflowPunct w:val="0"/>
        <w:topLinePunct w:val="0"/>
        <w:autoSpaceDE w:val="0"/>
        <w:autoSpaceDN w:val="0"/>
        <w:bidi w:val="0"/>
        <w:adjustRightInd w:val="0"/>
        <w:snapToGrid/>
        <w:spacing w:before="101" w:line="530" w:lineRule="exact"/>
        <w:jc w:val="center"/>
        <w:textAlignment w:val="auto"/>
        <w:rPr>
          <w:rFonts w:hint="eastAsia" w:ascii="方正小标宋简体" w:hAnsi="方正小标宋简体" w:eastAsia="方正小标宋简体" w:cs="方正小标宋简体"/>
          <w:b w:val="0"/>
          <w:bCs w:val="0"/>
          <w:spacing w:val="-11"/>
          <w:position w:val="3"/>
          <w:sz w:val="44"/>
          <w:szCs w:val="44"/>
        </w:rPr>
      </w:pPr>
      <w:r>
        <w:rPr>
          <w:rFonts w:hint="eastAsia" w:ascii="方正小标宋简体" w:hAnsi="方正小标宋简体" w:eastAsia="方正小标宋简体" w:cs="方正小标宋简体"/>
          <w:b w:val="0"/>
          <w:bCs w:val="0"/>
          <w:spacing w:val="-11"/>
          <w:position w:val="3"/>
          <w:sz w:val="44"/>
          <w:szCs w:val="44"/>
        </w:rPr>
        <w:t>（征求意见稿）</w:t>
      </w:r>
    </w:p>
    <w:p w14:paraId="0805C71A">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464"/>
        <w:jc w:val="both"/>
        <w:textAlignment w:val="baseline"/>
        <w:outlineLvl w:val="2"/>
        <w:rPr>
          <w:rFonts w:ascii="黑体" w:hAnsi="黑体" w:eastAsia="黑体" w:cs="黑体"/>
          <w:b w:val="0"/>
          <w:bCs w:val="0"/>
          <w:spacing w:val="-15"/>
          <w:sz w:val="32"/>
          <w:szCs w:val="32"/>
        </w:rPr>
      </w:pPr>
    </w:p>
    <w:p w14:paraId="02AF4352">
      <w:pPr>
        <w:keepNext w:val="0"/>
        <w:keepLines w:val="0"/>
        <w:pageBreakBefore w:val="0"/>
        <w:widowControl w:val="0"/>
        <w:kinsoku/>
        <w:wordWrap/>
        <w:overflowPunct w:val="0"/>
        <w:topLinePunct w:val="0"/>
        <w:autoSpaceDE w:val="0"/>
        <w:autoSpaceDN/>
        <w:bidi w:val="0"/>
        <w:adjustRightInd w:val="0"/>
        <w:snapToGrid w:val="0"/>
        <w:spacing w:before="101" w:line="530" w:lineRule="exact"/>
        <w:jc w:val="center"/>
        <w:textAlignment w:val="baseline"/>
        <w:outlineLvl w:val="2"/>
      </w:pPr>
      <w:r>
        <w:rPr>
          <w:rFonts w:ascii="黑体" w:hAnsi="黑体" w:eastAsia="黑体" w:cs="黑体"/>
          <w:b w:val="0"/>
          <w:bCs w:val="0"/>
          <w:spacing w:val="-15"/>
          <w:sz w:val="32"/>
          <w:szCs w:val="32"/>
        </w:rPr>
        <w:t>第 一</w:t>
      </w:r>
      <w:r>
        <w:rPr>
          <w:rFonts w:ascii="黑体" w:hAnsi="黑体" w:eastAsia="黑体" w:cs="黑体"/>
          <w:b w:val="0"/>
          <w:bCs w:val="0"/>
          <w:spacing w:val="-12"/>
          <w:sz w:val="32"/>
          <w:szCs w:val="32"/>
        </w:rPr>
        <w:t xml:space="preserve"> </w:t>
      </w:r>
      <w:r>
        <w:rPr>
          <w:rFonts w:ascii="黑体" w:hAnsi="黑体" w:eastAsia="黑体" w:cs="黑体"/>
          <w:b w:val="0"/>
          <w:bCs w:val="0"/>
          <w:spacing w:val="-15"/>
          <w:sz w:val="32"/>
          <w:szCs w:val="32"/>
        </w:rPr>
        <w:t>章 总</w:t>
      </w:r>
      <w:r>
        <w:rPr>
          <w:rFonts w:ascii="黑体" w:hAnsi="黑体" w:eastAsia="黑体" w:cs="黑体"/>
          <w:b w:val="0"/>
          <w:bCs w:val="0"/>
          <w:spacing w:val="-18"/>
          <w:sz w:val="32"/>
          <w:szCs w:val="32"/>
        </w:rPr>
        <w:t xml:space="preserve"> </w:t>
      </w:r>
      <w:r>
        <w:rPr>
          <w:rFonts w:ascii="黑体" w:hAnsi="黑体" w:eastAsia="黑体" w:cs="黑体"/>
          <w:b w:val="0"/>
          <w:bCs w:val="0"/>
          <w:spacing w:val="-15"/>
          <w:sz w:val="32"/>
          <w:szCs w:val="32"/>
        </w:rPr>
        <w:t>则</w:t>
      </w:r>
    </w:p>
    <w:p w14:paraId="4D1C829C">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67" w:firstLineChars="200"/>
        <w:jc w:val="both"/>
        <w:textAlignment w:val="baseline"/>
        <w:rPr>
          <w:rFonts w:hint="eastAsia" w:ascii="仿宋_GB2312" w:hAnsi="仿宋_GB2312" w:eastAsia="仿宋_GB2312" w:cs="仿宋_GB2312"/>
          <w:color w:val="000000" w:themeColor="text1"/>
          <w:spacing w:val="5"/>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lang w:eastAsia="zh-CN"/>
          <w14:textFill>
            <w14:solidFill>
              <w14:schemeClr w14:val="tx1"/>
            </w14:solidFill>
          </w14:textFill>
        </w:rPr>
        <w:t>第一条</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14:textFill>
            <w14:solidFill>
              <w14:schemeClr w14:val="tx1"/>
            </w14:solidFill>
          </w14:textFill>
        </w:rPr>
        <w:t>为深入推进质量强县建设，引导和激励全县各行业</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14:textFill>
            <w14:solidFill>
              <w14:schemeClr w14:val="tx1"/>
            </w14:solidFill>
          </w14:textFill>
        </w:rPr>
        <w:t>加强质量管理，追求卓越绩效，提高产品、工程、环境和服务质</w:t>
      </w:r>
      <w:r>
        <w:rPr>
          <w:rFonts w:hint="eastAsia" w:ascii="仿宋_GB2312" w:hAnsi="仿宋_GB2312" w:eastAsia="仿宋_GB2312" w:cs="仿宋_GB2312"/>
          <w:color w:val="000000" w:themeColor="text1"/>
          <w:spacing w:val="-3"/>
          <w:sz w:val="32"/>
          <w:szCs w:val="32"/>
          <w14:textFill>
            <w14:solidFill>
              <w14:schemeClr w14:val="tx1"/>
            </w14:solidFill>
          </w14:textFill>
        </w:rPr>
        <w:t>量水平，增强我县经济社会的综合竞争力，根据《中华人民共和国</w:t>
      </w:r>
      <w:r>
        <w:rPr>
          <w:rFonts w:hint="eastAsia" w:ascii="仿宋_GB2312" w:hAnsi="仿宋_GB2312" w:eastAsia="仿宋_GB2312" w:cs="仿宋_GB2312"/>
          <w:color w:val="000000" w:themeColor="text1"/>
          <w:spacing w:val="6"/>
          <w:sz w:val="32"/>
          <w:szCs w:val="32"/>
          <w14:textFill>
            <w14:solidFill>
              <w14:schemeClr w14:val="tx1"/>
            </w14:solidFill>
          </w14:textFill>
        </w:rPr>
        <w:t>产品质量法》等有关规定</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，参照《甘肃省人民政府质量奖实施办法》《张掖市人民政府质量奖管理办法》</w:t>
      </w:r>
      <w:r>
        <w:rPr>
          <w:rFonts w:hint="eastAsia" w:ascii="仿宋_GB2312" w:hAnsi="仿宋_GB2312" w:eastAsia="仿宋_GB2312" w:cs="仿宋_GB2312"/>
          <w:color w:val="000000" w:themeColor="text1"/>
          <w:spacing w:val="6"/>
          <w:sz w:val="32"/>
          <w:szCs w:val="32"/>
          <w14:textFill>
            <w14:solidFill>
              <w14:schemeClr w14:val="tx1"/>
            </w14:solidFill>
          </w14:textFill>
        </w:rPr>
        <w:t>，结合我县实际，</w:t>
      </w:r>
      <w:r>
        <w:rPr>
          <w:rFonts w:hint="eastAsia" w:ascii="仿宋_GB2312" w:hAnsi="仿宋_GB2312" w:eastAsia="仿宋_GB2312" w:cs="仿宋_GB2312"/>
          <w:color w:val="000000" w:themeColor="text1"/>
          <w:spacing w:val="5"/>
          <w:sz w:val="32"/>
          <w:szCs w:val="32"/>
          <w14:textFill>
            <w14:solidFill>
              <w14:schemeClr w14:val="tx1"/>
            </w14:solidFill>
          </w14:textFill>
        </w:rPr>
        <w:t>制定本办法。</w:t>
      </w:r>
    </w:p>
    <w:p w14:paraId="2ADAD4C9">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67" w:firstLineChars="200"/>
        <w:jc w:val="both"/>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lang w:eastAsia="zh-CN"/>
          <w14:textFill>
            <w14:solidFill>
              <w14:schemeClr w14:val="tx1"/>
            </w14:solidFill>
          </w14:textFill>
        </w:rPr>
        <w:t>第二条</w:t>
      </w:r>
      <w:r>
        <w:rPr>
          <w:rFonts w:hint="eastAsia" w:ascii="仿宋_GB2312" w:hAnsi="仿宋_GB2312" w:eastAsia="仿宋_GB2312" w:cs="仿宋_GB2312"/>
          <w:color w:val="000000" w:themeColor="text1"/>
          <w:spacing w:val="13"/>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3"/>
          <w:sz w:val="32"/>
          <w:szCs w:val="32"/>
          <w14:textFill>
            <w14:solidFill>
              <w14:schemeClr w14:val="tx1"/>
            </w14:solidFill>
          </w14:textFill>
        </w:rPr>
        <w:t>本办法所称“民乐县</w:t>
      </w:r>
      <w:r>
        <w:rPr>
          <w:rFonts w:hint="eastAsia" w:ascii="仿宋_GB2312" w:hAnsi="仿宋_GB2312" w:eastAsia="仿宋_GB2312" w:cs="仿宋_GB2312"/>
          <w:color w:val="000000" w:themeColor="text1"/>
          <w:spacing w:val="13"/>
          <w:sz w:val="32"/>
          <w:szCs w:val="32"/>
          <w:lang w:eastAsia="zh-CN"/>
          <w14:textFill>
            <w14:solidFill>
              <w14:schemeClr w14:val="tx1"/>
            </w14:solidFill>
          </w14:textFill>
        </w:rPr>
        <w:t>人民</w:t>
      </w:r>
      <w:r>
        <w:rPr>
          <w:rFonts w:hint="eastAsia" w:ascii="仿宋_GB2312" w:hAnsi="仿宋_GB2312" w:eastAsia="仿宋_GB2312" w:cs="仿宋_GB2312"/>
          <w:color w:val="000000" w:themeColor="text1"/>
          <w:spacing w:val="13"/>
          <w:sz w:val="32"/>
          <w:szCs w:val="32"/>
          <w14:textFill>
            <w14:solidFill>
              <w14:schemeClr w14:val="tx1"/>
            </w14:solidFill>
          </w14:textFill>
        </w:rPr>
        <w:t>政府质量奖”(以下简称“县</w:t>
      </w:r>
      <w:r>
        <w:rPr>
          <w:rFonts w:hint="eastAsia" w:ascii="仿宋_GB2312" w:hAnsi="仿宋_GB2312" w:eastAsia="仿宋_GB2312" w:cs="仿宋_GB2312"/>
          <w:color w:val="000000" w:themeColor="text1"/>
          <w:spacing w:val="14"/>
          <w:sz w:val="32"/>
          <w:szCs w:val="32"/>
          <w14:textFill>
            <w14:solidFill>
              <w14:schemeClr w14:val="tx1"/>
            </w14:solidFill>
          </w14:textFill>
        </w:rPr>
        <w:t>政府质量奖”)是民乐县人民政府设立的最高质量荣誉，授予在</w:t>
      </w:r>
      <w:r>
        <w:rPr>
          <w:rFonts w:hint="eastAsia" w:ascii="仿宋_GB2312" w:hAnsi="仿宋_GB2312" w:eastAsia="仿宋_GB2312" w:cs="仿宋_GB2312"/>
          <w:color w:val="000000" w:themeColor="text1"/>
          <w:spacing w:val="9"/>
          <w:sz w:val="32"/>
          <w:szCs w:val="32"/>
          <w14:textFill>
            <w14:solidFill>
              <w14:schemeClr w14:val="tx1"/>
            </w14:solidFill>
          </w14:textFill>
        </w:rPr>
        <w:t>本县行政区域内注册登记、实施卓越绩效管理模式、质量</w:t>
      </w:r>
      <w:r>
        <w:rPr>
          <w:rFonts w:hint="eastAsia" w:ascii="仿宋_GB2312" w:hAnsi="仿宋_GB2312" w:eastAsia="仿宋_GB2312" w:cs="仿宋_GB2312"/>
          <w:color w:val="000000" w:themeColor="text1"/>
          <w:spacing w:val="8"/>
          <w:sz w:val="32"/>
          <w:szCs w:val="32"/>
          <w14:textFill>
            <w14:solidFill>
              <w14:schemeClr w14:val="tx1"/>
            </w14:solidFill>
          </w14:textFill>
        </w:rPr>
        <w:t>管理水</w:t>
      </w:r>
      <w:r>
        <w:rPr>
          <w:rFonts w:hint="eastAsia" w:ascii="仿宋_GB2312" w:hAnsi="仿宋_GB2312" w:eastAsia="仿宋_GB2312" w:cs="仿宋_GB2312"/>
          <w:color w:val="000000" w:themeColor="text1"/>
          <w:spacing w:val="9"/>
          <w:sz w:val="32"/>
          <w:szCs w:val="32"/>
          <w14:textFill>
            <w14:solidFill>
              <w14:schemeClr w14:val="tx1"/>
            </w14:solidFill>
          </w14:textFill>
        </w:rPr>
        <w:t>平和自主创新能力在行业内处于领先地位、取得显著经济效益或</w:t>
      </w:r>
      <w:r>
        <w:rPr>
          <w:rFonts w:hint="eastAsia" w:ascii="仿宋_GB2312" w:hAnsi="仿宋_GB2312" w:eastAsia="仿宋_GB2312" w:cs="仿宋_GB2312"/>
          <w:color w:val="000000" w:themeColor="text1"/>
          <w:spacing w:val="-1"/>
          <w:sz w:val="32"/>
          <w:szCs w:val="32"/>
          <w14:textFill>
            <w14:solidFill>
              <w14:schemeClr w14:val="tx1"/>
            </w14:solidFill>
          </w14:textFill>
        </w:rPr>
        <w:t>社会效益的</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企业或</w:t>
      </w:r>
      <w:r>
        <w:rPr>
          <w:rFonts w:hint="eastAsia" w:ascii="仿宋_GB2312" w:hAnsi="仿宋_GB2312" w:eastAsia="仿宋_GB2312" w:cs="仿宋_GB2312"/>
          <w:color w:val="000000" w:themeColor="text1"/>
          <w:spacing w:val="-1"/>
          <w:sz w:val="32"/>
          <w:szCs w:val="32"/>
          <w14:textFill>
            <w14:solidFill>
              <w14:schemeClr w14:val="tx1"/>
            </w14:solidFill>
          </w14:textFill>
        </w:rPr>
        <w:t>组织</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（以下简称“组织”）</w:t>
      </w:r>
      <w:r>
        <w:rPr>
          <w:rFonts w:hint="eastAsia" w:ascii="仿宋_GB2312" w:hAnsi="仿宋_GB2312" w:eastAsia="仿宋_GB2312" w:cs="仿宋_GB2312"/>
          <w:color w:val="000000" w:themeColor="text1"/>
          <w:spacing w:val="-1"/>
          <w:sz w:val="32"/>
          <w:szCs w:val="32"/>
          <w14:textFill>
            <w14:solidFill>
              <w14:schemeClr w14:val="tx1"/>
            </w14:solidFill>
          </w14:textFill>
        </w:rPr>
        <w:t>。</w:t>
      </w:r>
    </w:p>
    <w:p w14:paraId="27E7BD31">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67"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第三条</w:t>
      </w:r>
      <w:r>
        <w:rPr>
          <w:rFonts w:hint="eastAsia" w:ascii="仿宋_GB2312" w:hAnsi="仿宋_GB2312" w:eastAsia="仿宋_GB2312" w:cs="仿宋_GB2312"/>
          <w:color w:val="000000" w:themeColor="text1"/>
          <w:spacing w:val="6"/>
          <w:sz w:val="32"/>
          <w:szCs w:val="32"/>
          <w14:textFill>
            <w14:solidFill>
              <w14:schemeClr w14:val="tx1"/>
            </w14:solidFill>
          </w14:textFill>
        </w:rPr>
        <w:t xml:space="preserve"> 县政府质量奖评审工作，以“好中选优、树立标杆”</w:t>
      </w:r>
      <w:r>
        <w:rPr>
          <w:rFonts w:hint="eastAsia" w:ascii="仿宋_GB2312" w:hAnsi="仿宋_GB2312" w:eastAsia="仿宋_GB2312" w:cs="仿宋_GB2312"/>
          <w:color w:val="000000" w:themeColor="text1"/>
          <w:spacing w:val="9"/>
          <w:sz w:val="32"/>
          <w:szCs w:val="32"/>
          <w14:textFill>
            <w14:solidFill>
              <w14:schemeClr w14:val="tx1"/>
            </w14:solidFill>
          </w14:textFill>
        </w:rPr>
        <w:t>为宗旨，</w:t>
      </w:r>
      <w:r>
        <w:rPr>
          <w:rFonts w:ascii="Times New Roman" w:hAnsi="Times New Roman" w:eastAsia="仿宋_GB2312" w:cs="Times New Roman"/>
          <w:color w:val="000000" w:themeColor="text1"/>
          <w:kern w:val="0"/>
          <w:sz w:val="32"/>
          <w:szCs w:val="32"/>
          <w:lang w:val="zh-CN"/>
          <w14:textFill>
            <w14:solidFill>
              <w14:schemeClr w14:val="tx1"/>
            </w14:solidFill>
          </w14:textFill>
        </w:rPr>
        <w:t>以国家标准《卓越绩效评价准则》（GB/T19580）和《卓越绩效评价准则实施指南》（GB/T19579）对质量元素的要求及评价条件为评审基本依据，</w:t>
      </w:r>
      <w:r>
        <w:rPr>
          <w:rFonts w:hint="eastAsia" w:ascii="仿宋_GB2312" w:hAnsi="仿宋_GB2312" w:eastAsia="仿宋_GB2312" w:cs="仿宋_GB2312"/>
          <w:color w:val="000000" w:themeColor="text1"/>
          <w:spacing w:val="9"/>
          <w:sz w:val="32"/>
          <w:szCs w:val="32"/>
          <w14:textFill>
            <w14:solidFill>
              <w14:schemeClr w14:val="tx1"/>
            </w14:solidFill>
          </w14:textFill>
        </w:rPr>
        <w:t>以“科学、公开、公平、公正”为原则，以组织自愿申请为基础，以社会公示、专家评议、政府决策为科学程序，以政</w:t>
      </w:r>
      <w:r>
        <w:rPr>
          <w:rFonts w:hint="eastAsia" w:ascii="仿宋_GB2312" w:hAnsi="仿宋_GB2312" w:eastAsia="仿宋_GB2312" w:cs="仿宋_GB2312"/>
          <w:color w:val="000000" w:themeColor="text1"/>
          <w:spacing w:val="6"/>
          <w:sz w:val="32"/>
          <w:szCs w:val="32"/>
          <w14:textFill>
            <w14:solidFill>
              <w14:schemeClr w14:val="tx1"/>
            </w14:solidFill>
          </w14:textFill>
        </w:rPr>
        <w:t>府积极推动、引导、监督为保证，不断优化我县经济增长方式，</w:t>
      </w:r>
      <w:r>
        <w:rPr>
          <w:rFonts w:hint="eastAsia" w:ascii="仿宋_GB2312" w:hAnsi="仿宋_GB2312" w:eastAsia="仿宋_GB2312" w:cs="仿宋_GB2312"/>
          <w:color w:val="000000" w:themeColor="text1"/>
          <w:sz w:val="32"/>
          <w:szCs w:val="32"/>
          <w14:textFill>
            <w14:solidFill>
              <w14:schemeClr w14:val="tx1"/>
            </w14:solidFill>
          </w14:textFill>
        </w:rPr>
        <w:t>提升经济综合竞争力。</w:t>
      </w:r>
    </w:p>
    <w:p w14:paraId="0334C92E">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99" w:firstLineChars="200"/>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14"/>
          <w:sz w:val="32"/>
          <w:szCs w:val="32"/>
          <w14:textFill>
            <w14:solidFill>
              <w14:schemeClr w14:val="tx1"/>
            </w14:solidFill>
          </w14:textFill>
        </w:rPr>
        <w:t>第</w:t>
      </w:r>
      <w:r>
        <w:rPr>
          <w:rFonts w:hint="eastAsia" w:ascii="仿宋_GB2312" w:hAnsi="仿宋_GB2312" w:eastAsia="仿宋_GB2312" w:cs="仿宋_GB2312"/>
          <w:b/>
          <w:bCs/>
          <w:color w:val="000000" w:themeColor="text1"/>
          <w:spacing w:val="14"/>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pacing w:val="14"/>
          <w:sz w:val="32"/>
          <w:szCs w:val="32"/>
          <w14:textFill>
            <w14:solidFill>
              <w14:schemeClr w14:val="tx1"/>
            </w14:solidFill>
          </w14:textFill>
        </w:rPr>
        <w:t>条</w:t>
      </w:r>
      <w:r>
        <w:rPr>
          <w:rFonts w:hint="eastAsia" w:ascii="仿宋_GB2312" w:hAnsi="仿宋_GB2312" w:eastAsia="仿宋_GB2312" w:cs="仿宋_GB2312"/>
          <w:color w:val="000000" w:themeColor="text1"/>
          <w:spacing w:val="14"/>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县政府质量奖每</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年组织评审一次，包括县政府质量奖、县政府质量奖提名奖两个等次。每届获得县政府质量奖的组织不超过</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个，获得县政府质量奖提名奖的组织不超过</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个（下届可继续申报评选县政府质量奖，但再不予提名），上述获奖数可少额或空缺。获得县政府质量奖、县政府质量奖提名奖称号的组织由县政府分别奖励人民币1</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万元、</w:t>
      </w:r>
      <w:r>
        <w:rPr>
          <w:rFonts w:hint="eastAsia" w:ascii="仿宋_GB2312" w:hAnsi="仿宋_GB2312" w:eastAsia="仿宋_GB2312" w:cs="仿宋_GB2312"/>
          <w:color w:val="000000" w:themeColor="text1"/>
          <w:spacing w:val="2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万元。</w:t>
      </w:r>
      <w:r>
        <w:rPr>
          <w:rFonts w:ascii="Times New Roman" w:hAnsi="Times New Roman" w:eastAsia="仿宋_GB2312" w:cs="Times New Roman"/>
          <w:color w:val="000000" w:themeColor="text1"/>
          <w:kern w:val="0"/>
          <w:sz w:val="32"/>
          <w:szCs w:val="32"/>
          <w:lang w:val="zh-CN"/>
          <w14:textFill>
            <w14:solidFill>
              <w14:schemeClr w14:val="tx1"/>
            </w14:solidFill>
          </w14:textFill>
        </w:rPr>
        <w:t>评审经费和奖金列入当年县财政预算。</w:t>
      </w:r>
    </w:p>
    <w:p w14:paraId="70A3C7DE">
      <w:pPr>
        <w:keepNext w:val="0"/>
        <w:keepLines w:val="0"/>
        <w:pageBreakBefore w:val="0"/>
        <w:widowControl w:val="0"/>
        <w:numPr>
          <w:ilvl w:val="0"/>
          <w:numId w:val="0"/>
        </w:numPr>
        <w:kinsoku/>
        <w:wordWrap/>
        <w:overflowPunct w:val="0"/>
        <w:topLinePunct w:val="0"/>
        <w:autoSpaceDE w:val="0"/>
        <w:autoSpaceDN/>
        <w:bidi w:val="0"/>
        <w:adjustRightInd w:val="0"/>
        <w:snapToGrid w:val="0"/>
        <w:spacing w:before="101" w:line="530" w:lineRule="exact"/>
        <w:ind w:right="270" w:rightChars="0" w:firstLine="699" w:firstLineChars="200"/>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14"/>
          <w:sz w:val="32"/>
          <w:szCs w:val="32"/>
          <w:lang w:val="zh-CN"/>
          <w14:textFill>
            <w14:solidFill>
              <w14:schemeClr w14:val="tx1"/>
            </w14:solidFill>
          </w14:textFill>
        </w:rPr>
        <w:t>第</w:t>
      </w:r>
      <w:r>
        <w:rPr>
          <w:rFonts w:hint="eastAsia" w:ascii="仿宋_GB2312" w:hAnsi="仿宋_GB2312" w:eastAsia="仿宋_GB2312" w:cs="仿宋_GB2312"/>
          <w:b/>
          <w:bCs/>
          <w:color w:val="000000" w:themeColor="text1"/>
          <w:spacing w:val="14"/>
          <w:sz w:val="32"/>
          <w:szCs w:val="32"/>
          <w:lang w:val="zh-CN" w:eastAsia="zh-CN"/>
          <w14:textFill>
            <w14:solidFill>
              <w14:schemeClr w14:val="tx1"/>
            </w14:solidFill>
          </w14:textFill>
        </w:rPr>
        <w:t>五</w:t>
      </w:r>
      <w:r>
        <w:rPr>
          <w:rFonts w:hint="eastAsia" w:ascii="仿宋_GB2312" w:hAnsi="仿宋_GB2312" w:eastAsia="仿宋_GB2312" w:cs="仿宋_GB2312"/>
          <w:b/>
          <w:bCs/>
          <w:color w:val="000000" w:themeColor="text1"/>
          <w:spacing w:val="14"/>
          <w:sz w:val="32"/>
          <w:szCs w:val="32"/>
          <w:lang w:val="zh-CN"/>
          <w14:textFill>
            <w14:solidFill>
              <w14:schemeClr w14:val="tx1"/>
            </w14:solidFill>
          </w14:textFill>
        </w:rPr>
        <w:t>条</w:t>
      </w:r>
      <w:r>
        <w:rPr>
          <w:rFonts w:hint="eastAsia" w:ascii="仿宋_GB2312" w:hAnsi="仿宋_GB2312" w:eastAsia="仿宋_GB2312" w:cs="仿宋_GB2312"/>
          <w:color w:val="000000" w:themeColor="text1"/>
          <w:spacing w:val="14"/>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县政府质量奖有效期为5年。对有效期满的获奖企业或组织重新进行考核评价，符合条件的继续保留称号，不符合条件的予以整改，整改后仍不能达到要求的取消称号。</w:t>
      </w:r>
    </w:p>
    <w:p w14:paraId="1575C644">
      <w:pPr>
        <w:keepNext w:val="0"/>
        <w:keepLines w:val="0"/>
        <w:pageBreakBefore w:val="0"/>
        <w:widowControl w:val="0"/>
        <w:kinsoku/>
        <w:wordWrap/>
        <w:overflowPunct w:val="0"/>
        <w:topLinePunct w:val="0"/>
        <w:autoSpaceDE w:val="0"/>
        <w:autoSpaceDN/>
        <w:bidi w:val="0"/>
        <w:adjustRightInd w:val="0"/>
        <w:snapToGrid w:val="0"/>
        <w:spacing w:before="140" w:line="530" w:lineRule="exact"/>
        <w:jc w:val="center"/>
        <w:textAlignment w:val="baseline"/>
        <w:outlineLvl w:val="2"/>
        <w:rPr>
          <w:rFonts w:ascii="黑体" w:hAnsi="黑体" w:eastAsia="黑体" w:cs="黑体"/>
          <w:b w:val="0"/>
          <w:bCs w:val="0"/>
          <w:color w:val="000000" w:themeColor="text1"/>
          <w:spacing w:val="32"/>
          <w:sz w:val="32"/>
          <w:szCs w:val="32"/>
          <w14:textFill>
            <w14:solidFill>
              <w14:schemeClr w14:val="tx1"/>
            </w14:solidFill>
          </w14:textFill>
        </w:rPr>
      </w:pPr>
    </w:p>
    <w:p w14:paraId="737B3315">
      <w:pPr>
        <w:keepNext w:val="0"/>
        <w:keepLines w:val="0"/>
        <w:pageBreakBefore w:val="0"/>
        <w:widowControl w:val="0"/>
        <w:kinsoku/>
        <w:wordWrap/>
        <w:overflowPunct w:val="0"/>
        <w:topLinePunct w:val="0"/>
        <w:autoSpaceDE w:val="0"/>
        <w:autoSpaceDN/>
        <w:bidi w:val="0"/>
        <w:adjustRightInd w:val="0"/>
        <w:snapToGrid w:val="0"/>
        <w:spacing w:before="140" w:line="530" w:lineRule="exact"/>
        <w:jc w:val="center"/>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pacing w:val="32"/>
          <w:sz w:val="32"/>
          <w:szCs w:val="32"/>
          <w14:textFill>
            <w14:solidFill>
              <w14:schemeClr w14:val="tx1"/>
            </w14:solidFill>
          </w14:textFill>
        </w:rPr>
        <w:t>第二章</w:t>
      </w:r>
      <w:r>
        <w:rPr>
          <w:rFonts w:hint="eastAsia" w:ascii="黑体" w:hAnsi="黑体" w:eastAsia="黑体" w:cs="黑体"/>
          <w:b w:val="0"/>
          <w:bCs w:val="0"/>
          <w:color w:val="000000" w:themeColor="text1"/>
          <w:spacing w:val="32"/>
          <w:sz w:val="32"/>
          <w:szCs w:val="32"/>
          <w:lang w:val="en-US" w:eastAsia="zh-CN"/>
          <w14:textFill>
            <w14:solidFill>
              <w14:schemeClr w14:val="tx1"/>
            </w14:solidFill>
          </w14:textFill>
        </w:rPr>
        <w:t xml:space="preserve"> </w:t>
      </w:r>
      <w:r>
        <w:rPr>
          <w:rFonts w:ascii="黑体" w:hAnsi="黑体" w:eastAsia="黑体" w:cs="黑体"/>
          <w:b w:val="0"/>
          <w:bCs w:val="0"/>
          <w:color w:val="000000" w:themeColor="text1"/>
          <w:spacing w:val="32"/>
          <w:sz w:val="32"/>
          <w:szCs w:val="32"/>
          <w14:textFill>
            <w14:solidFill>
              <w14:schemeClr w14:val="tx1"/>
            </w14:solidFill>
          </w14:textFill>
        </w:rPr>
        <w:t>组织管理</w:t>
      </w:r>
    </w:p>
    <w:p w14:paraId="77F60168">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第</w:t>
      </w:r>
      <w:r>
        <w:rPr>
          <w:rFonts w:hint="eastAsia" w:ascii="仿宋_GB2312" w:hAnsi="仿宋_GB2312" w:eastAsia="仿宋_GB2312" w:cs="仿宋_GB2312"/>
          <w:b/>
          <w:bCs/>
          <w:color w:val="000000" w:themeColor="text1"/>
          <w:spacing w:val="4"/>
          <w:sz w:val="32"/>
          <w:szCs w:val="32"/>
          <w:lang w:eastAsia="zh-CN"/>
          <w14:textFill>
            <w14:solidFill>
              <w14:schemeClr w14:val="tx1"/>
            </w14:solidFill>
          </w14:textFill>
        </w:rPr>
        <w:t>六</w:t>
      </w:r>
      <w:r>
        <w:rPr>
          <w:rFonts w:hint="eastAsia" w:ascii="仿宋_GB2312" w:hAnsi="仿宋_GB2312" w:eastAsia="仿宋_GB2312" w:cs="仿宋_GB2312"/>
          <w:b/>
          <w:bCs/>
          <w:color w:val="000000" w:themeColor="text1"/>
          <w:spacing w:val="4"/>
          <w:sz w:val="32"/>
          <w:szCs w:val="32"/>
          <w14:textFill>
            <w14:solidFill>
              <w14:schemeClr w14:val="tx1"/>
            </w14:solidFill>
          </w14:textFill>
        </w:rPr>
        <w:t>条</w:t>
      </w:r>
      <w:r>
        <w:rPr>
          <w:rFonts w:hint="eastAsia" w:ascii="仿宋_GB2312" w:hAnsi="仿宋_GB2312" w:eastAsia="仿宋_GB2312" w:cs="仿宋_GB2312"/>
          <w:b/>
          <w:bCs/>
          <w:color w:val="000000" w:themeColor="text1"/>
          <w:spacing w:val="4"/>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加强对县政府质量奖评审的组织管理，设立县政府质量奖评审委员会（以下简称“评委会”），评委会主任由县政府分管副县长担任，常务副主任由县政府办公室主任担任，另设两名副主任，分别由县市场监管局和县人社局主要负责同志担任。评委会成员由政府相关部门负责人、有关行业专家学者及社会组织负责人组成。</w:t>
      </w:r>
    </w:p>
    <w:p w14:paraId="7E87E857">
      <w:pPr>
        <w:keepNext w:val="0"/>
        <w:keepLines w:val="0"/>
        <w:pageBreakBefore w:val="0"/>
        <w:widowControl w:val="0"/>
        <w:kinsoku/>
        <w:wordWrap/>
        <w:overflowPunct w:val="0"/>
        <w:topLinePunct w:val="0"/>
        <w:autoSpaceDE w:val="0"/>
        <w:autoSpaceDN/>
        <w:bidi w:val="0"/>
        <w:adjustRightInd w:val="0"/>
        <w:snapToGrid w:val="0"/>
        <w:spacing w:before="153" w:line="530" w:lineRule="exact"/>
        <w:ind w:right="134" w:firstLine="694"/>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第七条</w:t>
      </w:r>
      <w:r>
        <w:rPr>
          <w:rFonts w:hint="eastAsia" w:ascii="仿宋_GB2312" w:hAnsi="仿宋_GB2312" w:eastAsia="仿宋_GB2312" w:cs="仿宋_GB2312"/>
          <w:b/>
          <w:bCs/>
          <w:color w:val="000000" w:themeColor="text1"/>
          <w:spacing w:val="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7"/>
          <w:sz w:val="32"/>
          <w:szCs w:val="32"/>
          <w14:textFill>
            <w14:solidFill>
              <w14:schemeClr w14:val="tx1"/>
            </w14:solidFill>
          </w14:textFill>
        </w:rPr>
        <w:t>评审委员会成员由县市场监督管</w:t>
      </w:r>
      <w:r>
        <w:rPr>
          <w:rFonts w:hint="eastAsia" w:ascii="仿宋_GB2312" w:hAnsi="仿宋_GB2312" w:eastAsia="仿宋_GB2312" w:cs="仿宋_GB2312"/>
          <w:color w:val="000000" w:themeColor="text1"/>
          <w:spacing w:val="3"/>
          <w:sz w:val="32"/>
          <w:szCs w:val="32"/>
          <w14:textFill>
            <w14:solidFill>
              <w14:schemeClr w14:val="tx1"/>
            </w14:solidFill>
          </w14:textFill>
        </w:rPr>
        <w:t>理局提出，报县政府确定。主要职责是：</w:t>
      </w:r>
    </w:p>
    <w:p w14:paraId="0E2A71DE">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（一）组织、指导、监督质量奖评定工作，研究决定评审过程中的重大事项；</w:t>
      </w:r>
    </w:p>
    <w:p w14:paraId="1678FDAA">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（二）审定评审标准、程序和细则等工作规范；</w:t>
      </w:r>
    </w:p>
    <w:p w14:paraId="0637D72C">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21"/>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21"/>
          <w:sz w:val="32"/>
          <w:szCs w:val="32"/>
          <w:lang w:val="zh-CN"/>
          <w14:textFill>
            <w14:solidFill>
              <w14:schemeClr w14:val="tx1"/>
            </w14:solidFill>
          </w14:textFill>
        </w:rPr>
        <w:t>（三）审查评审结果，确定提请县政府审批表彰的拟获奖企业或组织名单。</w:t>
      </w:r>
    </w:p>
    <w:p w14:paraId="5BCFA151">
      <w:pPr>
        <w:keepNext w:val="0"/>
        <w:keepLines w:val="0"/>
        <w:pageBreakBefore w:val="0"/>
        <w:widowControl w:val="0"/>
        <w:kinsoku/>
        <w:wordWrap/>
        <w:overflowPunct w:val="0"/>
        <w:topLinePunct w:val="0"/>
        <w:autoSpaceDE w:val="0"/>
        <w:autoSpaceDN/>
        <w:bidi w:val="0"/>
        <w:adjustRightInd w:val="0"/>
        <w:snapToGrid w:val="0"/>
        <w:spacing w:before="101" w:line="530" w:lineRule="exact"/>
        <w:ind w:right="134" w:firstLine="694"/>
        <w:jc w:val="both"/>
        <w:textAlignment w:val="baseline"/>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2"/>
          <w:sz w:val="32"/>
          <w:szCs w:val="32"/>
          <w14:textFill>
            <w14:solidFill>
              <w14:schemeClr w14:val="tx1"/>
            </w14:solidFill>
          </w14:textFill>
        </w:rPr>
        <w:t>第八条</w:t>
      </w:r>
      <w:r>
        <w:rPr>
          <w:rFonts w:hint="eastAsia" w:ascii="仿宋_GB2312" w:hAnsi="仿宋_GB2312" w:eastAsia="仿宋_GB2312" w:cs="仿宋_GB2312"/>
          <w:b/>
          <w:bCs/>
          <w:color w:val="000000" w:themeColor="text1"/>
          <w:spacing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lang w:val="zh-CN" w:eastAsia="zh-CN"/>
          <w14:textFill>
            <w14:solidFill>
              <w14:schemeClr w14:val="tx1"/>
            </w14:solidFill>
          </w14:textFill>
        </w:rPr>
        <w:t>评委会下设办公室（以下简称“评审办”），</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评审</w:t>
      </w: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办设在县市场监督管理局，具体承办和负责处理县政府质量奖评审的日常工作，其主要职责是：</w:t>
      </w:r>
    </w:p>
    <w:p w14:paraId="75175143">
      <w:pPr>
        <w:keepNext w:val="0"/>
        <w:keepLines w:val="0"/>
        <w:pageBreakBefore w:val="0"/>
        <w:widowControl w:val="0"/>
        <w:numPr>
          <w:ilvl w:val="0"/>
          <w:numId w:val="0"/>
        </w:numPr>
        <w:kinsoku/>
        <w:wordWrap/>
        <w:overflowPunct w:val="0"/>
        <w:topLinePunct w:val="0"/>
        <w:autoSpaceDE/>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（一）组织制（修）订县政府质量奖评选工作相关规范；</w:t>
      </w:r>
    </w:p>
    <w:p w14:paraId="63009760">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（二）建立评审人员专家库，负责评审人员的聘请、培训、使用及监督管理；</w:t>
      </w:r>
    </w:p>
    <w:p w14:paraId="604455A2">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68" w:firstLineChars="200"/>
        <w:textAlignment w:val="baseline"/>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（三）发布县政府质量奖评审的相关信息，受理县政府质量奖的申报，组建专家评审组对申报企业或组织按程序进行评审；</w:t>
      </w:r>
    </w:p>
    <w:p w14:paraId="65300C8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68" w:firstLineChars="200"/>
        <w:textAlignment w:val="baseline"/>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（四）向评委会报告评审结果，提请评委会审议确定候选企业或组织名单，并进行公示；</w:t>
      </w:r>
    </w:p>
    <w:p w14:paraId="3AD6704D">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68" w:firstLineChars="200"/>
        <w:textAlignment w:val="baseline"/>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（五）承办评委会交办的其他工作。</w:t>
      </w:r>
    </w:p>
    <w:p w14:paraId="093E6FBD">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30" w:lineRule="exact"/>
        <w:ind w:firstLine="675"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8"/>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8"/>
          <w:sz w:val="32"/>
          <w:szCs w:val="32"/>
          <w14:textFill>
            <w14:solidFill>
              <w14:schemeClr w14:val="tx1"/>
            </w14:solidFill>
          </w14:textFill>
        </w:rPr>
        <w:t>县政府行业主管部门负责本系统、本行</w:t>
      </w:r>
      <w:r>
        <w:rPr>
          <w:rFonts w:hint="eastAsia" w:ascii="仿宋_GB2312" w:hAnsi="仿宋_GB2312" w:eastAsia="仿宋_GB2312" w:cs="仿宋_GB2312"/>
          <w:color w:val="000000" w:themeColor="text1"/>
          <w:spacing w:val="7"/>
          <w:sz w:val="32"/>
          <w:szCs w:val="32"/>
          <w14:textFill>
            <w14:solidFill>
              <w14:schemeClr w14:val="tx1"/>
            </w14:solidFill>
          </w14:textFill>
        </w:rPr>
        <w:t>业县政府质量奖的有关工作，包括培育和推荐申报组织、推荐评审专家</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等，并</w:t>
      </w:r>
      <w:r>
        <w:rPr>
          <w:rFonts w:hint="eastAsia" w:ascii="仿宋_GB2312" w:hAnsi="仿宋_GB2312" w:eastAsia="仿宋_GB2312" w:cs="仿宋_GB2312"/>
          <w:color w:val="000000" w:themeColor="text1"/>
          <w:spacing w:val="7"/>
          <w:kern w:val="0"/>
          <w:sz w:val="32"/>
          <w:szCs w:val="32"/>
          <w:lang w:val="zh-CN"/>
          <w14:textFill>
            <w14:solidFill>
              <w14:schemeClr w14:val="tx1"/>
            </w14:solidFill>
          </w14:textFill>
        </w:rPr>
        <w:t>对获奖企业或组织的质量保证能力进行跟踪管理，加强县政府质量奖的品牌宣传、经验推广和基础培育工作</w:t>
      </w:r>
      <w:r>
        <w:rPr>
          <w:rFonts w:hint="eastAsia" w:ascii="仿宋_GB2312" w:hAnsi="仿宋_GB2312" w:eastAsia="仿宋_GB2312" w:cs="仿宋_GB2312"/>
          <w:color w:val="000000" w:themeColor="text1"/>
          <w:spacing w:val="4"/>
          <w:sz w:val="32"/>
          <w:szCs w:val="32"/>
          <w14:textFill>
            <w14:solidFill>
              <w14:schemeClr w14:val="tx1"/>
            </w14:solidFill>
          </w14:textFill>
        </w:rPr>
        <w:t>。</w:t>
      </w:r>
    </w:p>
    <w:p w14:paraId="08641368">
      <w:pPr>
        <w:keepNext w:val="0"/>
        <w:keepLines w:val="0"/>
        <w:pageBreakBefore w:val="0"/>
        <w:widowControl w:val="0"/>
        <w:kinsoku/>
        <w:wordWrap/>
        <w:overflowPunct w:val="0"/>
        <w:topLinePunct w:val="0"/>
        <w:autoSpaceDE w:val="0"/>
        <w:autoSpaceDN/>
        <w:bidi w:val="0"/>
        <w:adjustRightInd w:val="0"/>
        <w:snapToGrid w:val="0"/>
        <w:spacing w:before="100" w:line="530" w:lineRule="exact"/>
        <w:ind w:left="3274"/>
        <w:jc w:val="both"/>
        <w:textAlignment w:val="baseline"/>
        <w:outlineLvl w:val="2"/>
        <w:rPr>
          <w:rFonts w:ascii="黑体" w:hAnsi="黑体" w:eastAsia="黑体" w:cs="黑体"/>
          <w:b w:val="0"/>
          <w:bCs w:val="0"/>
          <w:color w:val="000000" w:themeColor="text1"/>
          <w:spacing w:val="31"/>
          <w:sz w:val="31"/>
          <w:szCs w:val="31"/>
          <w14:textFill>
            <w14:solidFill>
              <w14:schemeClr w14:val="tx1"/>
            </w14:solidFill>
          </w14:textFill>
        </w:rPr>
      </w:pPr>
    </w:p>
    <w:p w14:paraId="6DAC56D6">
      <w:pPr>
        <w:keepNext w:val="0"/>
        <w:keepLines w:val="0"/>
        <w:pageBreakBefore w:val="0"/>
        <w:widowControl w:val="0"/>
        <w:kinsoku/>
        <w:wordWrap/>
        <w:overflowPunct w:val="0"/>
        <w:topLinePunct w:val="0"/>
        <w:autoSpaceDE w:val="0"/>
        <w:autoSpaceDN/>
        <w:bidi w:val="0"/>
        <w:adjustRightInd w:val="0"/>
        <w:snapToGrid w:val="0"/>
        <w:spacing w:before="100" w:line="530" w:lineRule="exact"/>
        <w:ind w:left="3274"/>
        <w:jc w:val="both"/>
        <w:textAlignment w:val="baseline"/>
        <w:outlineLvl w:val="2"/>
        <w:rPr>
          <w:rFonts w:ascii="黑体" w:hAnsi="黑体" w:eastAsia="黑体" w:cs="黑体"/>
          <w:b w:val="0"/>
          <w:bCs w:val="0"/>
          <w:color w:val="000000" w:themeColor="text1"/>
          <w:sz w:val="31"/>
          <w:szCs w:val="31"/>
          <w14:textFill>
            <w14:solidFill>
              <w14:schemeClr w14:val="tx1"/>
            </w14:solidFill>
          </w14:textFill>
        </w:rPr>
      </w:pPr>
      <w:r>
        <w:rPr>
          <w:rFonts w:ascii="黑体" w:hAnsi="黑体" w:eastAsia="黑体" w:cs="黑体"/>
          <w:b w:val="0"/>
          <w:bCs w:val="0"/>
          <w:color w:val="000000" w:themeColor="text1"/>
          <w:spacing w:val="31"/>
          <w:sz w:val="31"/>
          <w:szCs w:val="31"/>
          <w14:textFill>
            <w14:solidFill>
              <w14:schemeClr w14:val="tx1"/>
            </w14:solidFill>
          </w14:textFill>
        </w:rPr>
        <w:t>第三章</w:t>
      </w:r>
      <w:r>
        <w:rPr>
          <w:rFonts w:hint="eastAsia" w:ascii="黑体" w:hAnsi="黑体" w:eastAsia="黑体" w:cs="黑体"/>
          <w:b w:val="0"/>
          <w:bCs w:val="0"/>
          <w:color w:val="000000" w:themeColor="text1"/>
          <w:spacing w:val="31"/>
          <w:sz w:val="31"/>
          <w:szCs w:val="31"/>
          <w:lang w:val="en-US" w:eastAsia="zh-CN"/>
          <w14:textFill>
            <w14:solidFill>
              <w14:schemeClr w14:val="tx1"/>
            </w14:solidFill>
          </w14:textFill>
        </w:rPr>
        <w:t xml:space="preserve"> </w:t>
      </w:r>
      <w:r>
        <w:rPr>
          <w:rFonts w:ascii="黑体" w:hAnsi="黑体" w:eastAsia="黑体" w:cs="黑体"/>
          <w:b w:val="0"/>
          <w:bCs w:val="0"/>
          <w:color w:val="000000" w:themeColor="text1"/>
          <w:spacing w:val="31"/>
          <w:sz w:val="31"/>
          <w:szCs w:val="31"/>
          <w14:textFill>
            <w14:solidFill>
              <w14:schemeClr w14:val="tx1"/>
            </w14:solidFill>
          </w14:textFill>
        </w:rPr>
        <w:t>申报条件</w:t>
      </w:r>
    </w:p>
    <w:p w14:paraId="4B35F310">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75"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8"/>
          <w:sz w:val="32"/>
          <w:szCs w:val="32"/>
          <w:lang w:val="zh-CN"/>
          <w14:textFill>
            <w14:solidFill>
              <w14:schemeClr w14:val="tx1"/>
            </w14:solidFill>
          </w14:textFill>
        </w:rPr>
        <w:t>第十条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申报县政府质量奖的企业或组织，必须同时具备以下条件：</w:t>
      </w:r>
    </w:p>
    <w:p w14:paraId="7D34D3C9">
      <w:pPr>
        <w:keepNext w:val="0"/>
        <w:keepLines w:val="0"/>
        <w:pageBreakBefore w:val="0"/>
        <w:widowControl w:val="0"/>
        <w:numPr>
          <w:ilvl w:val="0"/>
          <w:numId w:val="0"/>
        </w:numPr>
        <w:shd w:val="clear" w:fill="FFFFFF" w:themeFill="background1"/>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shd w:val="clear" w:fill="FFFFFF" w:themeFill="background1"/>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（一）生产经营符合国家法律法规和相关产</w:t>
      </w:r>
      <w:r>
        <w:rPr>
          <w:rFonts w:hint="eastAsia" w:ascii="仿宋_GB2312" w:hAnsi="仿宋_GB2312" w:eastAsia="仿宋_GB2312" w:cs="仿宋_GB2312"/>
          <w:color w:val="000000" w:themeColor="text1"/>
          <w:sz w:val="32"/>
          <w:szCs w:val="32"/>
          <w:shd w:val="clear" w:fill="FFFFFF" w:themeFill="background1"/>
          <w:lang w:val="zh-CN"/>
          <w14:textFill>
            <w14:solidFill>
              <w14:schemeClr w14:val="tx1"/>
            </w14:solidFill>
          </w14:textFill>
        </w:rPr>
        <w:t>业、环保、安全、质量等政策，且在本县注册登记并正常运行3年以上；</w:t>
      </w:r>
    </w:p>
    <w:p w14:paraId="490D8544">
      <w:pPr>
        <w:keepNext w:val="0"/>
        <w:keepLines w:val="0"/>
        <w:pageBreakBefore w:val="0"/>
        <w:widowControl w:val="0"/>
        <w:numPr>
          <w:ilvl w:val="0"/>
          <w:numId w:val="0"/>
        </w:numPr>
        <w:shd w:val="clear" w:fill="FFFFFF" w:themeFill="background1"/>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（二）具备扎实的质量工作基础，质量管理体系运行有效，质量管理理念、制度、模式、方法先进，形成自我完善的持续改进机制；</w:t>
      </w:r>
    </w:p>
    <w:p w14:paraId="3C0A5FB8">
      <w:pPr>
        <w:keepNext w:val="0"/>
        <w:keepLines w:val="0"/>
        <w:pageBreakBefore w:val="0"/>
        <w:widowControl w:val="0"/>
        <w:numPr>
          <w:ilvl w:val="0"/>
          <w:numId w:val="0"/>
        </w:numPr>
        <w:shd w:val="clear" w:fill="FFFFFF" w:themeFill="background1"/>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（三）积极开展质量创新、标准创新、管理创新、技术创新等，创新能力较强，品牌形象和影响力突出，质量竞争力优势明显；</w:t>
      </w:r>
    </w:p>
    <w:p w14:paraId="5C049DDF">
      <w:pPr>
        <w:keepNext w:val="0"/>
        <w:keepLines w:val="0"/>
        <w:pageBreakBefore w:val="0"/>
        <w:widowControl w:val="0"/>
        <w:numPr>
          <w:ilvl w:val="0"/>
          <w:numId w:val="0"/>
        </w:numPr>
        <w:shd w:val="clear" w:fill="FFFFFF" w:themeFill="background1"/>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（四）具有良好的经营业绩和社会贡献，近3年主要经济、技术、服务、质量等指标位居</w:t>
      </w:r>
      <w:r>
        <w:rPr>
          <w:rFonts w:hint="eastAsia" w:ascii="仿宋_GB2312" w:hAnsi="仿宋_GB2312" w:eastAsia="仿宋_GB2312" w:cs="仿宋_GB2312"/>
          <w:color w:val="000000" w:themeColor="text1"/>
          <w:sz w:val="32"/>
          <w:szCs w:val="32"/>
          <w:shd w:val="clear" w:fill="FFFFFF" w:themeFill="background1"/>
          <w:lang w:val="zh-CN"/>
          <w14:textFill>
            <w14:solidFill>
              <w14:schemeClr w14:val="tx1"/>
            </w14:solidFill>
          </w14:textFill>
        </w:rPr>
        <w:t>县内或省同</w:t>
      </w:r>
      <w:r>
        <w:rPr>
          <w:rFonts w:hint="eastAsia" w:ascii="仿宋_GB2312" w:hAnsi="仿宋_GB2312" w:eastAsia="仿宋_GB2312" w:cs="仿宋_GB2312"/>
          <w:color w:val="000000" w:themeColor="text1"/>
          <w:sz w:val="32"/>
          <w:szCs w:val="32"/>
          <w:lang w:val="zh-CN"/>
          <w14:textFill>
            <w14:solidFill>
              <w14:schemeClr w14:val="tx1"/>
            </w14:solidFill>
          </w14:textFill>
        </w:rPr>
        <w:t>行业领先水平；</w:t>
      </w:r>
    </w:p>
    <w:p w14:paraId="49E729B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（五）切实履行社会责任，依法诚信经营，具有良好的信用记录和社会信誉；</w:t>
      </w:r>
    </w:p>
    <w:p w14:paraId="59A611C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（六）近3年内未发生重大质量、安全、环保、公共卫生等事故，监督抽查或监督检查中，产品、工程或服务不存在质量问题；没有因自身原因导致服务对象（用户、顾客）的重大投诉，无违反法律法规的行为。</w:t>
      </w:r>
    </w:p>
    <w:p w14:paraId="0F54FA32">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75"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8"/>
          <w:sz w:val="32"/>
          <w:szCs w:val="32"/>
          <w:lang w:val="zh-CN"/>
          <w14:textFill>
            <w14:solidFill>
              <w14:schemeClr w14:val="tx1"/>
            </w14:solidFill>
          </w14:textFill>
        </w:rPr>
        <w:t>第十一条</w:t>
      </w:r>
      <w:r>
        <w:rPr>
          <w:rFonts w:hint="eastAsia" w:ascii="仿宋_GB2312" w:hAnsi="仿宋_GB2312" w:eastAsia="仿宋_GB2312" w:cs="仿宋_GB2312"/>
          <w:b/>
          <w:bCs/>
          <w:color w:val="000000" w:themeColor="text1"/>
          <w:spacing w:val="8"/>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zh-CN"/>
          <w14:textFill>
            <w14:solidFill>
              <w14:schemeClr w14:val="tx1"/>
            </w14:solidFill>
          </w14:textFill>
        </w:rPr>
        <w:t>鼓</w:t>
      </w:r>
      <w:r>
        <w:rPr>
          <w:rFonts w:hint="eastAsia" w:ascii="仿宋_GB2312" w:hAnsi="仿宋_GB2312" w:eastAsia="仿宋_GB2312" w:cs="仿宋_GB2312"/>
          <w:color w:val="000000" w:themeColor="text1"/>
          <w:spacing w:val="-23"/>
          <w:sz w:val="32"/>
          <w:szCs w:val="32"/>
          <w:lang w:val="zh-CN"/>
          <w14:textFill>
            <w14:solidFill>
              <w14:schemeClr w14:val="tx1"/>
            </w14:solidFill>
          </w14:textFill>
        </w:rPr>
        <w:t>励具备下述条件的中小企业争创县政府质量奖：</w:t>
      </w:r>
    </w:p>
    <w:p w14:paraId="0344C28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（一）组织规模须符合“国家统计局关于印发《统计上大中小微型企业划分办法（2017）》的通知及其说明”中的中小企业划分标准；</w:t>
      </w:r>
    </w:p>
    <w:p w14:paraId="72800B91">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（二）拥有有效期内高新技术企业资格证书或纳入国家科技型中小企业信息库；</w:t>
      </w:r>
    </w:p>
    <w:p w14:paraId="6A10CDEE">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（三）科技含量高、技术创新性强，市场竞争力和成长性强，在同行业走在前列；</w:t>
      </w:r>
    </w:p>
    <w:p w14:paraId="4E37C38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（四）获得过国家级、省部级科技方面奖励；</w:t>
      </w:r>
    </w:p>
    <w:p w14:paraId="72E7478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（五）拥有经认定的省部级及以上研发机构；</w:t>
      </w:r>
    </w:p>
    <w:p w14:paraId="1997BE50">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（六）近三年内主导或参与过国际标准、国家标准、行业标准或地方标准；</w:t>
      </w:r>
    </w:p>
    <w:p w14:paraId="53A4149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0" w:firstLineChars="200"/>
        <w:textAlignment w:val="baseline"/>
        <w:rPr>
          <w:rFonts w:ascii="仿宋" w:hAnsi="仿宋" w:eastAsia="仿宋" w:cs="仿宋"/>
          <w:color w:val="000000" w:themeColor="text1"/>
          <w:sz w:val="31"/>
          <w:szCs w:val="31"/>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七）拥有多项有效期内的与主要产品（或服务）相关的知识产权（包括发明专利、植物新品种、国家级农作物品种、国家新药、国家一级中药保护品种、集成电路布图设计专有权），且没有知识产权的争议或纠纷。</w:t>
      </w:r>
    </w:p>
    <w:p w14:paraId="5D7821CA">
      <w:pPr>
        <w:keepNext w:val="0"/>
        <w:keepLines w:val="0"/>
        <w:pageBreakBefore w:val="0"/>
        <w:widowControl w:val="0"/>
        <w:kinsoku/>
        <w:wordWrap/>
        <w:overflowPunct w:val="0"/>
        <w:topLinePunct w:val="0"/>
        <w:autoSpaceDE/>
        <w:autoSpaceDN/>
        <w:bidi w:val="0"/>
        <w:adjustRightInd/>
        <w:snapToGrid/>
        <w:spacing w:line="530" w:lineRule="exact"/>
        <w:jc w:val="center"/>
        <w:textAlignment w:val="auto"/>
        <w:rPr>
          <w:rFonts w:hint="eastAsia" w:ascii="黑体" w:hAnsi="黑体" w:eastAsia="黑体" w:cs="黑体"/>
          <w:color w:val="000000" w:themeColor="text1"/>
          <w:sz w:val="32"/>
          <w:szCs w:val="32"/>
          <w:lang w:val="zh-CN"/>
          <w14:textFill>
            <w14:solidFill>
              <w14:schemeClr w14:val="tx1"/>
            </w14:solidFill>
          </w14:textFill>
        </w:rPr>
      </w:pPr>
    </w:p>
    <w:p w14:paraId="7DB7CAEB">
      <w:pPr>
        <w:keepNext w:val="0"/>
        <w:keepLines w:val="0"/>
        <w:pageBreakBefore w:val="0"/>
        <w:widowControl w:val="0"/>
        <w:kinsoku/>
        <w:wordWrap/>
        <w:overflowPunct w:val="0"/>
        <w:topLinePunct w:val="0"/>
        <w:autoSpaceDE/>
        <w:autoSpaceDN/>
        <w:bidi w:val="0"/>
        <w:adjustRightInd/>
        <w:snapToGrid/>
        <w:spacing w:line="53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zh-CN"/>
          <w14:textFill>
            <w14:solidFill>
              <w14:schemeClr w14:val="tx1"/>
            </w14:solidFill>
          </w14:textFill>
        </w:rPr>
        <w:t>第四章 评审程序</w:t>
      </w:r>
    </w:p>
    <w:p w14:paraId="2E089F2A">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 xml:space="preserve">第十二条 </w:t>
      </w:r>
      <w:r>
        <w:rPr>
          <w:rFonts w:hint="eastAsia" w:ascii="仿宋_GB2312" w:hAnsi="仿宋_GB2312" w:eastAsia="仿宋_GB2312" w:cs="仿宋_GB2312"/>
          <w:color w:val="000000" w:themeColor="text1"/>
          <w:sz w:val="32"/>
          <w:szCs w:val="32"/>
          <w:lang w:val="zh-CN"/>
          <w14:textFill>
            <w14:solidFill>
              <w14:schemeClr w14:val="tx1"/>
            </w14:solidFill>
          </w14:textFill>
        </w:rPr>
        <w:t>发布公告。县政府质量奖评审前，评审办在新闻媒体上公布县政府质量奖的申报条件及工作安排。</w:t>
      </w:r>
    </w:p>
    <w:p w14:paraId="04BCFD3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zh-CN"/>
          <w14:textFill>
            <w14:solidFill>
              <w14:schemeClr w14:val="tx1"/>
            </w14:solidFill>
          </w14:textFill>
        </w:rPr>
        <w:t>申报。符合申报条件的企业或组织，自愿申报，按照要求，对本企业或组织的质量工作业绩进行自我评价和说明并如实填写《县政府质量奖申报表》，并在规定时间内报送评委会办公室。申报材料不得涉及国家安全、国家秘密。涉及商业秘密的，应当予以注明。申报企业或组织对申报材料的完整性、真实性、准确性负责。</w:t>
      </w:r>
    </w:p>
    <w:p w14:paraId="1F86B25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第十四条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资格审查。评委会办公室对申报企业或组织的基本条件、申报材料进行资格审查，对通过资格审查的，正式受理其申报。审查结果书面告知申报人，对不予受理的，应当说明理由。</w:t>
      </w:r>
    </w:p>
    <w:p w14:paraId="7C33AB45">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资料评审。评委会办公室组织评审人员对已受理的企业或组织进行资料评审，并根据资料评审结果，确定进入现场评审的企业或组织名单。</w:t>
      </w:r>
    </w:p>
    <w:p w14:paraId="24985BF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现场评审。评审办组织专家评审组，对进入现场评审的组织进行现场评审，形成现场评审报告。</w:t>
      </w:r>
    </w:p>
    <w:p w14:paraId="284FF2EE">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综合评价。评审办根据现场评审结果，对评审情况进行汇总与审查，形成综合评价报告，提出候选获奖名单。</w:t>
      </w:r>
    </w:p>
    <w:p w14:paraId="66309530">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审定公示。评审办将综合评议结果征求相关部门意见后提交评委会审议。评委会根据候选名单，确定拟获奖名单，由评委会办公室向社会公示，公示期为5个工作日。公示有异议的，评委会组织复核，经复核异议成立的，取消提名资格。</w:t>
      </w:r>
    </w:p>
    <w:p w14:paraId="0677FCBB">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第十九条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审定批准。对通过公示的拟获奖企业或组织，报请县政府常务会议审定通过。</w:t>
      </w:r>
    </w:p>
    <w:p w14:paraId="477CA16E">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254"/>
        <w:jc w:val="both"/>
        <w:textAlignment w:val="baseline"/>
        <w:outlineLvl w:val="2"/>
        <w:rPr>
          <w:rFonts w:hint="eastAsia" w:ascii="黑体" w:hAnsi="黑体" w:eastAsia="黑体" w:cs="黑体"/>
          <w:b w:val="0"/>
          <w:bCs w:val="0"/>
          <w:color w:val="000000" w:themeColor="text1"/>
          <w:spacing w:val="31"/>
          <w:sz w:val="31"/>
          <w:szCs w:val="31"/>
          <w:lang w:val="zh-CN"/>
          <w14:textFill>
            <w14:solidFill>
              <w14:schemeClr w14:val="tx1"/>
            </w14:solidFill>
          </w14:textFill>
        </w:rPr>
      </w:pPr>
    </w:p>
    <w:p w14:paraId="5D1C072C">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254"/>
        <w:jc w:val="both"/>
        <w:textAlignment w:val="baseline"/>
        <w:outlineLvl w:val="2"/>
        <w:rPr>
          <w:rFonts w:hint="eastAsia" w:ascii="黑体" w:hAnsi="黑体" w:eastAsia="黑体" w:cs="黑体"/>
          <w:b w:val="0"/>
          <w:bCs w:val="0"/>
          <w:color w:val="000000" w:themeColor="text1"/>
          <w:spacing w:val="31"/>
          <w:sz w:val="31"/>
          <w:szCs w:val="31"/>
          <w:lang w:val="zh-CN"/>
          <w14:textFill>
            <w14:solidFill>
              <w14:schemeClr w14:val="tx1"/>
            </w14:solidFill>
          </w14:textFill>
        </w:rPr>
      </w:pPr>
      <w:r>
        <w:rPr>
          <w:rFonts w:hint="eastAsia" w:ascii="黑体" w:hAnsi="黑体" w:eastAsia="黑体" w:cs="黑体"/>
          <w:b w:val="0"/>
          <w:bCs w:val="0"/>
          <w:color w:val="000000" w:themeColor="text1"/>
          <w:spacing w:val="31"/>
          <w:sz w:val="31"/>
          <w:szCs w:val="31"/>
          <w:lang w:val="zh-CN"/>
          <w14:textFill>
            <w14:solidFill>
              <w14:schemeClr w14:val="tx1"/>
            </w14:solidFill>
          </w14:textFill>
        </w:rPr>
        <w:t>第五章 激励措施</w:t>
      </w:r>
    </w:p>
    <w:p w14:paraId="1AFB915A">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县政府相关部门要在政府性投资项目安排、产业发展政策扶持、科技计划资金投入、技术研发项目补助、产业引导股权投资基金支持、落实新产品开发税收优惠政策、评优评先等方面，对获奖企业和组织给予倾斜支持。</w:t>
      </w:r>
    </w:p>
    <w:p w14:paraId="45C643AD">
      <w:pPr>
        <w:keepNext w:val="0"/>
        <w:keepLines w:val="0"/>
        <w:pageBreakBefore w:val="0"/>
        <w:widowControl w:val="0"/>
        <w:numPr>
          <w:ilvl w:val="0"/>
          <w:numId w:val="0"/>
        </w:numPr>
        <w:kinsoku/>
        <w:wordWrap/>
        <w:overflowPunct w:val="0"/>
        <w:topLinePunct w:val="0"/>
        <w:autoSpaceDE w:val="0"/>
        <w:autoSpaceDN/>
        <w:bidi w:val="0"/>
        <w:adjustRightInd w:val="0"/>
        <w:snapToGrid w:val="0"/>
        <w:spacing w:line="530" w:lineRule="exact"/>
        <w:ind w:firstLine="643" w:firstLineChars="200"/>
        <w:textAlignment w:val="baseline"/>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第二十一条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各银行业金融机构要对获奖企业或组织开通融资绿色通道，提供优惠利率专项贷款。</w:t>
      </w:r>
    </w:p>
    <w:p w14:paraId="7BBF8707">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254"/>
        <w:jc w:val="both"/>
        <w:textAlignment w:val="baseline"/>
        <w:outlineLvl w:val="2"/>
        <w:rPr>
          <w:rFonts w:hint="eastAsia" w:ascii="黑体" w:hAnsi="黑体" w:eastAsia="黑体" w:cs="黑体"/>
          <w:b w:val="0"/>
          <w:bCs w:val="0"/>
          <w:color w:val="000000" w:themeColor="text1"/>
          <w:spacing w:val="31"/>
          <w:sz w:val="31"/>
          <w:szCs w:val="31"/>
          <w:lang w:val="zh-CN"/>
          <w14:textFill>
            <w14:solidFill>
              <w14:schemeClr w14:val="tx1"/>
            </w14:solidFill>
          </w14:textFill>
        </w:rPr>
      </w:pPr>
    </w:p>
    <w:p w14:paraId="4ABB5076">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254"/>
        <w:jc w:val="both"/>
        <w:textAlignment w:val="baseline"/>
        <w:outlineLvl w:val="2"/>
        <w:rPr>
          <w:rFonts w:hint="eastAsia" w:ascii="黑体" w:hAnsi="黑体" w:eastAsia="黑体" w:cs="黑体"/>
          <w:b w:val="0"/>
          <w:bCs w:val="0"/>
          <w:color w:val="000000" w:themeColor="text1"/>
          <w:spacing w:val="31"/>
          <w:sz w:val="31"/>
          <w:szCs w:val="31"/>
          <w:lang w:val="zh-CN"/>
          <w14:textFill>
            <w14:solidFill>
              <w14:schemeClr w14:val="tx1"/>
            </w14:solidFill>
          </w14:textFill>
        </w:rPr>
      </w:pPr>
      <w:r>
        <w:rPr>
          <w:rFonts w:hint="eastAsia" w:ascii="黑体" w:hAnsi="黑体" w:eastAsia="黑体" w:cs="黑体"/>
          <w:b w:val="0"/>
          <w:bCs w:val="0"/>
          <w:color w:val="000000" w:themeColor="text1"/>
          <w:spacing w:val="31"/>
          <w:sz w:val="31"/>
          <w:szCs w:val="31"/>
          <w:lang w:val="zh-CN"/>
          <w14:textFill>
            <w14:solidFill>
              <w14:schemeClr w14:val="tx1"/>
            </w14:solidFill>
          </w14:textFill>
        </w:rPr>
        <w:t>第六章 监督管理</w:t>
      </w:r>
    </w:p>
    <w:p w14:paraId="451CFE41">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申报组织应实事求是，不得弄虚作假。对以弄虚作假或不正当手段谋取奖项的组织，尚未授奖的，取消其评选资格；已经授奖的，经核实后，报请县政府批准，撤销其所获奖项，并向社会通报。</w:t>
      </w:r>
    </w:p>
    <w:p w14:paraId="535D5038">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获奖组织不得将县政府质量奖和县政府质量奖提名奖称号及标志用于具体产品的广告、宣传、说明、包装等；任何单位或个人不得伪造、冒用县政府质量奖标志，违者依法追究其责任。</w:t>
      </w:r>
    </w:p>
    <w:p w14:paraId="4A56A4D7">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获奖企业或</w:t>
      </w:r>
      <w:r>
        <w:rPr>
          <w:rFonts w:hint="eastAsia" w:ascii="仿宋_GB2312" w:hAnsi="仿宋_GB2312" w:eastAsia="仿宋_GB2312" w:cs="仿宋_GB2312"/>
          <w:color w:val="000000" w:themeColor="text1"/>
          <w:sz w:val="32"/>
          <w:szCs w:val="32"/>
          <w:lang w:val="zh-CN"/>
          <w14:textFill>
            <w14:solidFill>
              <w14:schemeClr w14:val="tx1"/>
            </w14:solidFill>
          </w14:textFill>
        </w:rPr>
        <w:t>组织在获奖</w:t>
      </w:r>
      <w:r>
        <w:rPr>
          <w:rFonts w:hint="eastAsia" w:ascii="仿宋_GB2312" w:hAnsi="仿宋_GB2312" w:eastAsia="仿宋_GB2312" w:cs="仿宋_GB2312"/>
          <w:color w:val="000000" w:themeColor="text1"/>
          <w:sz w:val="32"/>
          <w:szCs w:val="32"/>
          <w:shd w:val="clear"/>
          <w:lang w:val="zh-CN"/>
          <w14:textFill>
            <w14:solidFill>
              <w14:schemeClr w14:val="tx1"/>
            </w14:solidFill>
          </w14:textFill>
        </w:rPr>
        <w:t>后</w:t>
      </w:r>
      <w:r>
        <w:rPr>
          <w:rFonts w:hint="eastAsia" w:ascii="仿宋_GB2312" w:hAnsi="仿宋_GB2312" w:eastAsia="仿宋_GB2312" w:cs="仿宋_GB2312"/>
          <w:color w:val="000000" w:themeColor="text1"/>
          <w:sz w:val="32"/>
          <w:szCs w:val="32"/>
          <w:shd w:val="clear"/>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lang w:val="zh-CN"/>
          <w14:textFill>
            <w14:solidFill>
              <w14:schemeClr w14:val="tx1"/>
            </w14:solidFill>
          </w14:textFill>
        </w:rPr>
        <w:t>年</w:t>
      </w:r>
      <w:r>
        <w:rPr>
          <w:rFonts w:hint="eastAsia" w:ascii="仿宋_GB2312" w:hAnsi="仿宋_GB2312" w:eastAsia="仿宋_GB2312" w:cs="仿宋_GB2312"/>
          <w:color w:val="000000" w:themeColor="text1"/>
          <w:sz w:val="32"/>
          <w:szCs w:val="32"/>
          <w:lang w:val="zh-CN"/>
          <w14:textFill>
            <w14:solidFill>
              <w14:schemeClr w14:val="tx1"/>
            </w14:solidFill>
          </w14:textFill>
        </w:rPr>
        <w:t>内发生下列情形之一的，由评委会组织对其进行调查，经核实后，报请县政府批准，撤销其荣誉，并向社会通报。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zh-CN"/>
          <w14:textFill>
            <w14:solidFill>
              <w14:schemeClr w14:val="tx1"/>
            </w14:solidFill>
          </w14:textFill>
        </w:rPr>
        <w:t>年内不得参加县政府质量奖的评审。</w:t>
      </w:r>
    </w:p>
    <w:p w14:paraId="1DB5AAF6">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（一）发生重大质量、安全、环保、卫生等事故，或者存在严重违法、违规、违纪情形的；</w:t>
      </w:r>
    </w:p>
    <w:p w14:paraId="432D41AF">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（二）发生重大质量问题，被监管部门查处，或服务对象（用户、顾客）对其产品、工程、环境、服务等有重大质量投诉并查证属实的；</w:t>
      </w:r>
    </w:p>
    <w:p w14:paraId="02099CB7">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（三）因经营管理不善，出现严重经营性亏损的；</w:t>
      </w:r>
    </w:p>
    <w:p w14:paraId="45968D49">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（四）发生其他严重违法法律、法规行为的。</w:t>
      </w:r>
    </w:p>
    <w:p w14:paraId="0268F58A">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color w:val="000000" w:themeColor="text1"/>
          <w:sz w:val="32"/>
          <w:szCs w:val="32"/>
          <w:lang w:val="en-US" w:eastAsia="en-US"/>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en-US"/>
          <w14:textFill>
            <w14:solidFill>
              <w14:schemeClr w14:val="tx1"/>
            </w14:solidFill>
          </w14:textFill>
        </w:rPr>
        <w:t>第</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二十五</w:t>
      </w:r>
      <w:r>
        <w:rPr>
          <w:rFonts w:hint="eastAsia" w:ascii="仿宋_GB2312" w:hAnsi="仿宋_GB2312" w:eastAsia="仿宋_GB2312" w:cs="仿宋_GB2312"/>
          <w:b/>
          <w:bCs/>
          <w:color w:val="000000" w:themeColor="text1"/>
          <w:sz w:val="32"/>
          <w:szCs w:val="32"/>
          <w:lang w:val="en-US" w:eastAsia="en-US"/>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参与县政府质量奖推荐和评审的机构和个人要严格遵守工作纪律，公正廉洁，保守秘密，与申报企业或组织存在利害关系的，应当回避，并对其知悉的商业秘密予以保密。</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推荐和评审过程中</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滥用职权、玩忽职守、徇私舞弊、收受贿赂的机构或个人，依照规定取消其评审工作资格，并提请主管部门或所在单位给予纪律处分；构成犯罪的，依法追究刑事责任。</w:t>
      </w:r>
    </w:p>
    <w:p w14:paraId="4C6B849F">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p>
    <w:p w14:paraId="188348C0">
      <w:pPr>
        <w:keepNext w:val="0"/>
        <w:keepLines w:val="0"/>
        <w:pageBreakBefore w:val="0"/>
        <w:widowControl w:val="0"/>
        <w:kinsoku/>
        <w:wordWrap/>
        <w:overflowPunct w:val="0"/>
        <w:topLinePunct w:val="0"/>
        <w:autoSpaceDE w:val="0"/>
        <w:autoSpaceDN/>
        <w:bidi w:val="0"/>
        <w:adjustRightInd w:val="0"/>
        <w:snapToGrid w:val="0"/>
        <w:spacing w:before="101" w:line="530" w:lineRule="exact"/>
        <w:ind w:left="3604"/>
        <w:jc w:val="both"/>
        <w:textAlignment w:val="baseline"/>
        <w:outlineLvl w:val="2"/>
        <w:rPr>
          <w:b w:val="0"/>
          <w:bCs w:val="0"/>
          <w:color w:val="000000" w:themeColor="text1"/>
          <w14:textFill>
            <w14:solidFill>
              <w14:schemeClr w14:val="tx1"/>
            </w14:solidFill>
          </w14:textFill>
        </w:rPr>
      </w:pPr>
      <w:r>
        <w:rPr>
          <w:rFonts w:ascii="黑体" w:hAnsi="黑体" w:eastAsia="黑体" w:cs="黑体"/>
          <w:b w:val="0"/>
          <w:bCs w:val="0"/>
          <w:color w:val="000000" w:themeColor="text1"/>
          <w:spacing w:val="47"/>
          <w:sz w:val="31"/>
          <w:szCs w:val="31"/>
          <w14:textFill>
            <w14:solidFill>
              <w14:schemeClr w14:val="tx1"/>
            </w14:solidFill>
          </w14:textFill>
        </w:rPr>
        <w:t>第</w:t>
      </w:r>
      <w:r>
        <w:rPr>
          <w:rFonts w:hint="eastAsia" w:ascii="黑体" w:hAnsi="黑体" w:eastAsia="黑体" w:cs="黑体"/>
          <w:b w:val="0"/>
          <w:bCs w:val="0"/>
          <w:color w:val="000000" w:themeColor="text1"/>
          <w:spacing w:val="47"/>
          <w:sz w:val="31"/>
          <w:szCs w:val="31"/>
          <w:lang w:eastAsia="zh-CN"/>
          <w14:textFill>
            <w14:solidFill>
              <w14:schemeClr w14:val="tx1"/>
            </w14:solidFill>
          </w14:textFill>
        </w:rPr>
        <w:t>七</w:t>
      </w:r>
      <w:r>
        <w:rPr>
          <w:rFonts w:ascii="黑体" w:hAnsi="黑体" w:eastAsia="黑体" w:cs="黑体"/>
          <w:b w:val="0"/>
          <w:bCs w:val="0"/>
          <w:color w:val="000000" w:themeColor="text1"/>
          <w:spacing w:val="47"/>
          <w:sz w:val="31"/>
          <w:szCs w:val="31"/>
          <w14:textFill>
            <w14:solidFill>
              <w14:schemeClr w14:val="tx1"/>
            </w14:solidFill>
          </w14:textFill>
        </w:rPr>
        <w:t>章</w:t>
      </w:r>
      <w:r>
        <w:rPr>
          <w:rFonts w:hint="eastAsia" w:ascii="黑体" w:hAnsi="黑体" w:eastAsia="黑体" w:cs="黑体"/>
          <w:b w:val="0"/>
          <w:bCs w:val="0"/>
          <w:color w:val="000000" w:themeColor="text1"/>
          <w:spacing w:val="47"/>
          <w:sz w:val="31"/>
          <w:szCs w:val="31"/>
          <w:lang w:val="en-US" w:eastAsia="zh-CN"/>
          <w14:textFill>
            <w14:solidFill>
              <w14:schemeClr w14:val="tx1"/>
            </w14:solidFill>
          </w14:textFill>
        </w:rPr>
        <w:t xml:space="preserve"> </w:t>
      </w:r>
      <w:r>
        <w:rPr>
          <w:rFonts w:ascii="黑体" w:hAnsi="黑体" w:eastAsia="黑体" w:cs="黑体"/>
          <w:b w:val="0"/>
          <w:bCs w:val="0"/>
          <w:color w:val="000000" w:themeColor="text1"/>
          <w:spacing w:val="47"/>
          <w:sz w:val="31"/>
          <w:szCs w:val="31"/>
          <w14:textFill>
            <w14:solidFill>
              <w14:schemeClr w14:val="tx1"/>
            </w14:solidFill>
          </w14:textFill>
        </w:rPr>
        <w:t>附则</w:t>
      </w:r>
    </w:p>
    <w:p w14:paraId="2E63C92E">
      <w:pPr>
        <w:keepNext w:val="0"/>
        <w:keepLines w:val="0"/>
        <w:pageBreakBefore w:val="0"/>
        <w:widowControl w:val="0"/>
        <w:numPr>
          <w:ilvl w:val="0"/>
          <w:numId w:val="0"/>
        </w:numPr>
        <w:kinsoku/>
        <w:wordWrap/>
        <w:overflowPunct w:val="0"/>
        <w:topLinePunct w:val="0"/>
        <w:autoSpaceDE/>
        <w:autoSpaceDN/>
        <w:bidi w:val="0"/>
        <w:adjustRightInd/>
        <w:snapToGrid/>
        <w:spacing w:line="530" w:lineRule="exact"/>
        <w:ind w:firstLine="643" w:firstLineChars="200"/>
        <w:textAlignment w:val="auto"/>
        <w:rPr>
          <w:rFonts w:ascii="仿宋_GB2312" w:eastAsia="仿宋_GB2312"/>
          <w:sz w:val="32"/>
          <w:szCs w:val="32"/>
        </w:rPr>
      </w:pPr>
      <w:r>
        <w:rPr>
          <w:rFonts w:hint="eastAsia" w:ascii="仿宋_GB2312" w:hAnsi="仿宋_GB2312" w:eastAsia="仿宋_GB2312" w:cs="仿宋_GB2312"/>
          <w:b/>
          <w:bCs/>
          <w:color w:val="000000" w:themeColor="text1"/>
          <w:sz w:val="32"/>
          <w:szCs w:val="32"/>
          <w:lang w:val="zh-CN" w:eastAsia="en-US"/>
          <w14:textFill>
            <w14:solidFill>
              <w14:schemeClr w14:val="tx1"/>
            </w14:solidFill>
          </w14:textFill>
        </w:rPr>
        <w:t>第</w:t>
      </w:r>
      <w:r>
        <w:rPr>
          <w:rFonts w:hint="eastAsia" w:ascii="仿宋_GB2312" w:hAnsi="仿宋_GB2312" w:eastAsia="仿宋_GB2312" w:cs="仿宋_GB2312"/>
          <w:b/>
          <w:bCs/>
          <w:color w:val="000000" w:themeColor="text1"/>
          <w:sz w:val="32"/>
          <w:szCs w:val="32"/>
          <w:lang w:val="zh-CN" w:eastAsia="zh-CN"/>
          <w14:textFill>
            <w14:solidFill>
              <w14:schemeClr w14:val="tx1"/>
            </w14:solidFill>
          </w14:textFill>
        </w:rPr>
        <w:t>二十六</w:t>
      </w:r>
      <w:r>
        <w:rPr>
          <w:rFonts w:hint="eastAsia" w:ascii="仿宋_GB2312" w:hAnsi="仿宋_GB2312" w:eastAsia="仿宋_GB2312" w:cs="仿宋_GB2312"/>
          <w:b/>
          <w:bCs/>
          <w:color w:val="000000" w:themeColor="text1"/>
          <w:sz w:val="32"/>
          <w:szCs w:val="32"/>
          <w:lang w:val="zh-CN" w:eastAsia="en-US"/>
          <w14:textFill>
            <w14:solidFill>
              <w14:schemeClr w14:val="tx1"/>
            </w14:solidFill>
          </w14:textFill>
        </w:rPr>
        <w:t>条</w:t>
      </w: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本</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办法</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》自印发之日起施行，有效期五年，原《民乐县政府质量奖管理办法》</w:t>
      </w:r>
      <w:r>
        <w:rPr>
          <w:rFonts w:hint="eastAsia" w:ascii="仿宋_GB2312" w:hAnsi="仿宋_GB2312" w:eastAsia="仿宋_GB2312" w:cs="仿宋_GB2312"/>
          <w:color w:val="000000" w:themeColor="text1"/>
          <w:sz w:val="32"/>
          <w:szCs w:val="32"/>
          <w:lang w:val="zh-CN"/>
          <w14:textFill>
            <w14:solidFill>
              <w14:schemeClr w14:val="tx1"/>
            </w14:solidFill>
          </w14:textFill>
        </w:rPr>
        <w:t>(民政发〔201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103</w:t>
      </w:r>
      <w:r>
        <w:rPr>
          <w:rFonts w:hint="eastAsia" w:ascii="仿宋_GB2312" w:hAnsi="仿宋_GB2312" w:eastAsia="仿宋_GB2312" w:cs="仿宋_GB2312"/>
          <w:color w:val="000000" w:themeColor="text1"/>
          <w:sz w:val="32"/>
          <w:szCs w:val="32"/>
          <w:lang w:val="zh-CN"/>
          <w14:textFill>
            <w14:solidFill>
              <w14:schemeClr w14:val="tx1"/>
            </w14:solidFill>
          </w14:textFill>
        </w:rPr>
        <w:t>号)同时废止。</w:t>
      </w:r>
    </w:p>
    <w:p w14:paraId="4E8E8895">
      <w:bookmarkStart w:id="0" w:name="_GoBack"/>
      <w:bookmarkEnd w:id="0"/>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36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0375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C50375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43E9"/>
    <w:rsid w:val="1A1D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2026-04-10T07:23:00Z</dcterms:created>
  <dc:creator>清欢</dc:creator>
  <cp:lastModifiedBy>清欢</cp:lastModifiedBy>
  <dcterms:modified xsi:type="dcterms:W3CDTF">2026-04-10T07:24:06Z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0005F62D077C40FFBBCD114697E37AE5_11</vt:lpwstr>
  </property>
  <property fmtid="{D5CDD505-2E9C-101B-9397-08002B2CF9AE}" pid="4" name="KSOTemplateDocerSaveRecord">
    <vt:lpwstr>eyJoZGlkIjoiZTIxMDcwNmE2Y2Y0MTJkOTY4MWZjYWQyN2VkOTJiOTgiLCJ1c2VySWQiOiI0NzEzMjA3MTIifQ==</vt:lpwstr>
  </property>
</Properties>
</file>